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2E5339"/>
          <w:sz w:val="28"/>
        </w:rPr>
        <w:t>LAPORAN PERTEMUAN</w:t>
        <w:br/>
        <w:t>EKSTRAKSI FITUR PADA DATASET CIFAR-10 MENGGUNAKAN CUSTOM CNN DAN SVM CLASSIFIER - GRAYSCALE AVERAGE TRAINING</w:t>
      </w:r>
    </w:p>
    <w:p>
      <w:pPr>
        <w:spacing w:before="80" w:after="280"/>
        <w:jc w:val="center"/>
      </w:pPr>
      <w:r>
        <w:rPr>
          <w:rFonts w:ascii="Times New Roman" w:hAnsi="Times New Roman"/>
          <w:b/>
          <w:sz w:val="24"/>
        </w:rPr>
        <w:t>Pelatihan Custom CNN 1-Kanal (R+G+B)/3, Ekstraksi Vektor Fitur 512-D, dan Training SVM Classifier</w:t>
        <w:br/>
        <w:t>(3_GrayAvg_train.ipynb)</w:t>
      </w:r>
    </w:p>
    <w:p>
      <w:pPr>
        <w:spacing w:before="160" w:after="440"/>
        <w:jc w:val="center"/>
      </w:pPr>
      <w:r>
        <w:rPr>
          <w:rFonts w:ascii="Times New Roman" w:hAnsi="Times New Roman"/>
          <w:sz w:val="24"/>
        </w:rPr>
        <w:t>Mata Kuliah: Big Data Analytic</w:t>
        <w:br/>
        <w:t>Dosen Pengampu: Bayu Adi Nugroho, Ph.D</w:t>
      </w:r>
    </w:p>
    <w:p>
      <w:pPr>
        <w:spacing w:before="200" w:after="520"/>
        <w:jc w:val="center"/>
      </w:pPr>
      <w:r>
        <w:drawing>
          <wp:inline xmlns:a="http://schemas.openxmlformats.org/drawingml/2006/main" xmlns:pic="http://schemas.openxmlformats.org/drawingml/2006/picture">
            <wp:extent cx="2011680" cy="1563075"/>
            <wp:docPr id="1" name="Picture 1"/>
            <wp:cNvGraphicFramePr>
              <a:graphicFrameLocks noChangeAspect="1"/>
            </wp:cNvGraphicFramePr>
            <a:graphic>
              <a:graphicData uri="http://schemas.openxmlformats.org/drawingml/2006/picture">
                <pic:pic>
                  <pic:nvPicPr>
                    <pic:cNvPr id="0" name="uin_logo.png"/>
                    <pic:cNvPicPr/>
                  </pic:nvPicPr>
                  <pic:blipFill>
                    <a:blip r:embed="rId10"/>
                    <a:stretch>
                      <a:fillRect/>
                    </a:stretch>
                  </pic:blipFill>
                  <pic:spPr>
                    <a:xfrm>
                      <a:off x="0" y="0"/>
                      <a:ext cx="2011680" cy="1563075"/>
                    </a:xfrm>
                    <a:prstGeom prst="rect"/>
                  </pic:spPr>
                </pic:pic>
              </a:graphicData>
            </a:graphic>
          </wp:inline>
        </w:drawing>
      </w:r>
    </w:p>
    <w:p>
      <w:pPr>
        <w:spacing w:before="280" w:after="80"/>
        <w:jc w:val="center"/>
      </w:pPr>
      <w:r>
        <w:rPr>
          <w:rFonts w:ascii="Times New Roman" w:hAnsi="Times New Roman"/>
          <w:b/>
          <w:sz w:val="24"/>
        </w:rPr>
        <w:t>Disusun Oleh:</w:t>
      </w:r>
    </w:p>
    <w:p>
      <w:pPr>
        <w:spacing w:before="0" w:after="600"/>
        <w:jc w:val="center"/>
      </w:pPr>
      <w:r>
        <w:rPr>
          <w:rFonts w:ascii="Times New Roman" w:hAnsi="Times New Roman"/>
          <w:b/>
          <w:sz w:val="24"/>
        </w:rPr>
        <w:t>Daffa Danendra Fairuzza – 09020624026</w:t>
      </w:r>
    </w:p>
    <w:p>
      <w:pPr>
        <w:spacing w:before="360" w:after="0"/>
        <w:jc w:val="center"/>
      </w:pPr>
      <w:r>
        <w:rPr>
          <w:rFonts w:ascii="Times New Roman" w:hAnsi="Times New Roman"/>
          <w:b/>
          <w:sz w:val="24"/>
        </w:rPr>
        <w:t>PROGRAM STUDI SISTEM INFORMASI</w:t>
        <w:br/>
        <w:t>FAKULTAS SAINS DAN TEKNOLOGI</w:t>
        <w:br/>
        <w:t>UNIVERSITAS ISLAM NEGERI SUNAN AMPEL SURABAYA</w:t>
        <w:br/>
        <w:t>2026</w:t>
      </w:r>
    </w:p>
    <w:p>
      <w:r>
        <w:br w:type="page"/>
      </w:r>
    </w:p>
    <w:tbl>
      <w:tblPr>
        <w:tblW w:type="auto" w:w="0"/>
        <w:jc w:val="center"/>
        <w:tblLayout w:type="fixed"/>
        <w:tblLook w:firstColumn="1" w:firstRow="1" w:lastColumn="0" w:lastRow="0" w:noHBand="0" w:noVBand="1" w:val="04A0"/>
      </w:tblPr>
      <w:tblGrid>
        <w:gridCol w:w="9029"/>
      </w:tblGrid>
      <w:tr>
        <w:tc>
          <w:tcPr>
            <w:tcW w:type="dxa" w:w="9029"/>
            <w:shd w:fill="EBF2EC"/>
            <w:tcMar>
              <w:top w:w="140" w:type="dxa"/>
              <w:bottom w:w="140" w:type="dxa"/>
              <w:left w:w="180" w:type="dxa"/>
              <w:right w:w="180" w:type="dxa"/>
            </w:tcMar>
            <w:tcBorders>
              <w:left w:val="single" w:sz="24" w:space="0" w:color="2E5339"/>
              <w:top w:val="none"/>
              <w:bottom w:val="none"/>
              <w:right w:val="none"/>
            </w:tcBorders>
          </w:tcPr>
          <w:p>
            <w:pPr>
              <w:spacing w:before="0" w:after="0" w:line="276" w:lineRule="auto"/>
              <w:jc w:val="both"/>
            </w:pPr>
            <w:r>
              <w:rPr>
                <w:rFonts w:ascii="Times New Roman" w:hAnsi="Times New Roman"/>
                <w:b/>
                <w:color w:val="2E5339"/>
                <w:sz w:val="21"/>
              </w:rPr>
              <w:t xml:space="preserve">💡 ARSITEKTUR MODEL (CUSTOM CNN 1-CHANNEL): </w:t>
            </w:r>
            <w:r>
              <w:rPr>
                <w:rFonts w:ascii="Times New Roman" w:hAnsi="Times New Roman"/>
                <w:sz w:val="21"/>
              </w:rPr>
              <w:t>Model pada notebook ini adalah Custom CNN 1-Kanal murni yang dibangun dari awal khusus untuk memproses representasi Grayscale Arithmetic Average. Tidak ada penggunaan model pretrained, sehingga jaringan belajar mengenali bentuk dan tekstur tanpa memanfaatkan petunjuk warna sama sekali.</w:t>
            </w:r>
          </w:p>
        </w:tc>
      </w:tr>
    </w:tbl>
    <w:p>
      <w:pPr>
        <w:spacing w:before="0" w:after="80"/>
      </w:pPr>
    </w:p>
    <w:p>
      <w:pPr>
        <w:keepNext/>
        <w:spacing w:before="280" w:after="80"/>
      </w:pPr>
      <w:r>
        <w:rPr>
          <w:rFonts w:ascii="Times New Roman" w:hAnsi="Times New Roman"/>
          <w:b/>
          <w:color w:val="2E5339"/>
          <w:sz w:val="26"/>
        </w:rPr>
        <w:t>1. Tujuan Praktikum</w:t>
      </w:r>
    </w:p>
    <w:p>
      <w:pPr>
        <w:pStyle w:val="ListBullet"/>
        <w:spacing w:before="0" w:after="60" w:line="276" w:lineRule="auto"/>
        <w:jc w:val="both"/>
      </w:pPr>
      <w:r>
        <w:rPr>
          <w:rFonts w:ascii="Times New Roman" w:hAnsi="Times New Roman"/>
          <w:b/>
          <w:sz w:val="23"/>
        </w:rPr>
        <w:t xml:space="preserve">1. Transformasi Monokromatik: </w:t>
      </w:r>
      <w:r>
        <w:rPr>
          <w:rFonts w:ascii="Times New Roman" w:hAnsi="Times New Roman"/>
          <w:sz w:val="23"/>
        </w:rPr>
        <w:t>Mengonversi dataset CIFAR-10 ke format Grayscale Arithmetic Average (32, 32, 1).</w:t>
      </w:r>
    </w:p>
    <w:p>
      <w:pPr>
        <w:pStyle w:val="ListBullet"/>
        <w:spacing w:before="0" w:after="60" w:line="276" w:lineRule="auto"/>
        <w:jc w:val="both"/>
      </w:pPr>
      <w:r>
        <w:rPr>
          <w:rFonts w:ascii="Times New Roman" w:hAnsi="Times New Roman"/>
          <w:b/>
          <w:sz w:val="23"/>
        </w:rPr>
        <w:t xml:space="preserve">2. Pelatihan Custom CNN: </w:t>
      </w:r>
      <w:r>
        <w:rPr>
          <w:rFonts w:ascii="Times New Roman" w:hAnsi="Times New Roman"/>
          <w:sz w:val="23"/>
        </w:rPr>
        <w:t>Melatih model Custom Deep Residual CNN 1-kanal dari scratch tanpa transfer learning.</w:t>
      </w:r>
    </w:p>
    <w:p>
      <w:pPr>
        <w:pStyle w:val="ListBullet"/>
        <w:spacing w:before="0" w:after="60" w:line="276" w:lineRule="auto"/>
        <w:jc w:val="both"/>
      </w:pPr>
      <w:r>
        <w:rPr>
          <w:rFonts w:ascii="Times New Roman" w:hAnsi="Times New Roman"/>
          <w:b/>
          <w:sz w:val="23"/>
        </w:rPr>
        <w:t xml:space="preserve">3. Ekstraksi Fitur: </w:t>
      </w:r>
      <w:r>
        <w:rPr>
          <w:rFonts w:ascii="Times New Roman" w:hAnsi="Times New Roman"/>
          <w:sz w:val="23"/>
        </w:rPr>
        <w:t>Mengekstrak representasi fitur 512 dimensi yang invarian terhadap warna menggunakan layer svm_features.</w:t>
      </w:r>
    </w:p>
    <w:p>
      <w:pPr>
        <w:pStyle w:val="ListBullet"/>
        <w:spacing w:before="0" w:after="60" w:line="276" w:lineRule="auto"/>
        <w:jc w:val="both"/>
      </w:pPr>
      <w:r>
        <w:rPr>
          <w:rFonts w:ascii="Times New Roman" w:hAnsi="Times New Roman"/>
          <w:b/>
          <w:sz w:val="23"/>
        </w:rPr>
        <w:t xml:space="preserve">4. Optimasi SVM: </w:t>
      </w:r>
      <w:r>
        <w:rPr>
          <w:rFonts w:ascii="Times New Roman" w:hAnsi="Times New Roman"/>
          <w:sz w:val="23"/>
        </w:rPr>
        <w:t>Melakukan hyperparameter tuning SVM dan melatih model SVM final pada 50.000 sampel.</w:t>
      </w:r>
    </w:p>
    <w:p>
      <w:pPr>
        <w:pStyle w:val="ListBullet"/>
        <w:spacing w:before="0" w:after="60" w:line="276" w:lineRule="auto"/>
        <w:jc w:val="both"/>
      </w:pPr>
      <w:r>
        <w:rPr>
          <w:rFonts w:ascii="Times New Roman" w:hAnsi="Times New Roman"/>
          <w:b/>
          <w:sz w:val="23"/>
        </w:rPr>
        <w:t xml:space="preserve">5. Serialisasi Model: </w:t>
      </w:r>
      <w:r>
        <w:rPr>
          <w:rFonts w:ascii="Times New Roman" w:hAnsi="Times New Roman"/>
          <w:sz w:val="23"/>
        </w:rPr>
        <w:t>Menyimpan seluruh artefak model terpadu ke direktori cifar10_artifacts/grayscale_avg/.</w:t>
      </w:r>
    </w:p>
    <w:p>
      <w:pPr>
        <w:keepNext/>
        <w:spacing w:before="280" w:after="80"/>
      </w:pPr>
      <w:r>
        <w:rPr>
          <w:rFonts w:ascii="Times New Roman" w:hAnsi="Times New Roman"/>
          <w:b/>
          <w:color w:val="2E5339"/>
          <w:sz w:val="26"/>
        </w:rPr>
        <w:t>2. Landasan Teori Singkat</w:t>
      </w:r>
    </w:p>
    <w:p>
      <w:pPr>
        <w:spacing w:before="0" w:after="100" w:line="276" w:lineRule="auto"/>
        <w:jc w:val="both"/>
      </w:pPr>
      <w:r>
        <w:rPr>
          <w:rFonts w:ascii="Times New Roman" w:hAnsi="Times New Roman"/>
          <w:i w:val="0"/>
          <w:sz w:val="23"/>
        </w:rPr>
        <w:t>Grayscale Arithmetic Average mengonversi citra berwarna 3 kanal menjadi 1 kanal dengan formula matematis:</w:t>
      </w:r>
    </w:p>
    <w:p>
      <w:pPr>
        <w:spacing w:before="0" w:after="100" w:line="276" w:lineRule="auto"/>
        <w:jc w:val="both"/>
      </w:pPr>
      <w:r>
        <w:rPr>
          <w:rFonts w:ascii="Times New Roman" w:hAnsi="Times New Roman"/>
          <w:b/>
          <w:sz w:val="23"/>
        </w:rPr>
        <w:t xml:space="preserve">Formula Matematika: </w:t>
      </w:r>
      <w:r>
        <w:rPr>
          <w:rFonts w:ascii="Times New Roman" w:hAnsi="Times New Roman"/>
          <w:i/>
          <w:sz w:val="23"/>
        </w:rPr>
        <w:t>Gray_AVG(x, y) = [R(x, y) + G(x, y) + B(x, y)] / 3</w:t>
      </w:r>
    </w:p>
    <w:p>
      <w:pPr>
        <w:spacing w:before="0" w:after="100" w:line="276" w:lineRule="auto"/>
        <w:jc w:val="both"/>
      </w:pPr>
      <w:r>
        <w:rPr>
          <w:rFonts w:ascii="Times New Roman" w:hAnsi="Times New Roman"/>
          <w:i w:val="0"/>
          <w:sz w:val="23"/>
        </w:rPr>
        <w:t>Transformasi ini menguji invarian kromatisitas jaringan konvolusi. Tanpa petunjuk warna, model dipaksa untuk fokus pada ekstraksi fitur tepi (edges), bentuk geometris, kontras bayangan, dan tekstur permukaan.</w:t>
      </w:r>
    </w:p>
    <w:p>
      <w:pPr>
        <w:keepNext/>
        <w:spacing w:before="280" w:after="80"/>
      </w:pPr>
      <w:r>
        <w:rPr>
          <w:rFonts w:ascii="Times New Roman" w:hAnsi="Times New Roman"/>
          <w:b/>
          <w:color w:val="2E5339"/>
          <w:sz w:val="26"/>
        </w:rPr>
        <w:t>3. Environment dan Konfigurasi</w:t>
      </w:r>
    </w:p>
    <w:p>
      <w:pPr>
        <w:spacing w:before="0" w:after="100" w:line="276" w:lineRule="auto"/>
        <w:jc w:val="both"/>
      </w:pPr>
      <w:r>
        <w:rPr>
          <w:rFonts w:ascii="Times New Roman" w:hAnsi="Times New Roman"/>
          <w:i w:val="0"/>
          <w:sz w:val="23"/>
        </w:rPr>
        <w:t>Berikut rincian spesifikasi lingkungan komputasi, perangkat keras, dan konfigurasi sistem yang digunakan pada eksperimen ini:</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514"/>
        <w:gridCol w:w="4514"/>
      </w:tblGrid>
      <w:tr>
        <w:tc>
          <w:tcPr>
            <w:tcW w:type="dxa" w:w="2592"/>
            <w:shd w:fill="FFFFFF"/>
            <w:tcMar>
              <w:top w:w="100" w:type="dxa"/>
              <w:bottom w:w="100" w:type="dxa"/>
              <w:left w:w="130" w:type="dxa"/>
              <w:right w:w="130" w:type="dxa"/>
            </w:tcMar>
          </w:tcPr>
          <w:p>
            <w:pPr>
              <w:jc w:val="left"/>
            </w:pPr>
            <w:r>
              <w:rPr>
                <w:rFonts w:ascii="Times New Roman" w:hAnsi="Times New Roman"/>
                <w:b/>
                <w:color w:val="000000"/>
                <w:sz w:val="21"/>
              </w:rPr>
              <w:t>Item</w:t>
            </w:r>
          </w:p>
        </w:tc>
        <w:tc>
          <w:tcPr>
            <w:tcW w:type="dxa" w:w="6437"/>
            <w:shd w:fill="FFFFFF"/>
            <w:tcMar>
              <w:top w:w="100" w:type="dxa"/>
              <w:bottom w:w="100" w:type="dxa"/>
              <w:left w:w="130" w:type="dxa"/>
              <w:right w:w="130" w:type="dxa"/>
            </w:tcMar>
          </w:tcPr>
          <w:p>
            <w:pPr>
              <w:jc w:val="left"/>
            </w:pPr>
            <w:r>
              <w:rPr>
                <w:rFonts w:ascii="Times New Roman" w:hAnsi="Times New Roman"/>
                <w:b/>
                <w:color w:val="000000"/>
                <w:sz w:val="21"/>
              </w:rPr>
              <w:t>Keterangan</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Sumber Kode</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3_GrayAvg_train.ipynb</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Environment</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Jupyter Notebook (lokal), kernel Python (CNNgpu), TensorFlow 2.10.1, GPU terdeteksi (GPU available: True)</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CPU</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Intel Core i7-13620H</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GPU</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Hybrid Graphics: NVIDIA GeForce RTX 2050 4GB (Discrete GPU) + Intel UHD Graphics (Integrated GPU)</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RAM</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16 GB</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Framework</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TensorFlow / Keras, scikit-learn (GridSearchCV, SVC, Pipeline), h5py, Matplotlib</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Dataset</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CIFAR-10 (data training 50.000 citra Grayscale Average (R+G+B)/3 32x32x1, 10 kelas)</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Reproducibility</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RANDOM_STATE = 23092026</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Artefak Output</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custom_cnn_cifar10_final.keras (berisi Custom CNN AVG + Scaler + SVM pipeline dalam satu file), cnn_model.keras, scaler.pkl, svm_model.pkl, train_features.npz, test_features.npz</w:t>
            </w:r>
          </w:p>
        </w:tc>
      </w:tr>
    </w:tbl>
    <w:p>
      <w:pPr>
        <w:spacing w:before="0" w:after="120"/>
      </w:pPr>
    </w:p>
    <w:p>
      <w:pPr>
        <w:keepNext/>
        <w:spacing w:before="280" w:after="80"/>
      </w:pPr>
      <w:r>
        <w:rPr>
          <w:rFonts w:ascii="Times New Roman" w:hAnsi="Times New Roman"/>
          <w:b/>
          <w:color w:val="2E5339"/>
          <w:sz w:val="26"/>
        </w:rPr>
        <w:t>4. Dataset CIFAR-10 Grayscale Average</w:t>
      </w:r>
    </w:p>
    <w:p>
      <w:pPr>
        <w:spacing w:before="0" w:after="100" w:line="276" w:lineRule="auto"/>
        <w:jc w:val="both"/>
      </w:pPr>
      <w:r>
        <w:rPr>
          <w:rFonts w:ascii="Times New Roman" w:hAnsi="Times New Roman"/>
          <w:i w:val="0"/>
          <w:sz w:val="23"/>
        </w:rPr>
        <w:t>Dataset terdiri dari 50.000 citra training bersaluran tunggal (32, 32, 1) dengan 10 kelas objek seimbang sempurna (5.000 citra per kelas).</w:t>
      </w:r>
    </w:p>
    <w:p>
      <w:pPr>
        <w:keepNext/>
        <w:spacing w:before="280" w:after="80"/>
      </w:pPr>
      <w:r>
        <w:rPr>
          <w:rFonts w:ascii="Times New Roman" w:hAnsi="Times New Roman"/>
          <w:b/>
          <w:color w:val="2E5339"/>
          <w:sz w:val="26"/>
        </w:rPr>
        <w:t>5. Data Visualization</w:t>
      </w:r>
    </w:p>
    <w:p>
      <w:pPr>
        <w:spacing w:before="0" w:after="100" w:line="276" w:lineRule="auto"/>
        <w:jc w:val="both"/>
      </w:pPr>
      <w:r>
        <w:rPr>
          <w:rFonts w:ascii="Times New Roman" w:hAnsi="Times New Roman"/>
          <w:i w:val="0"/>
          <w:sz w:val="23"/>
        </w:rPr>
        <w:t>Contoh sampel citra monokromatik hasil transformasi Grayscale Average disajikan pada Gambar 1:</w:t>
      </w:r>
    </w:p>
    <w:p>
      <w:pPr>
        <w:keepNext/>
        <w:spacing w:before="160" w:after="60"/>
        <w:jc w:val="center"/>
      </w:pPr>
      <w:r>
        <w:drawing>
          <wp:inline xmlns:a="http://schemas.openxmlformats.org/drawingml/2006/main" xmlns:pic="http://schemas.openxmlformats.org/drawingml/2006/picture">
            <wp:extent cx="5120640" cy="1253243"/>
            <wp:docPr id="2" name="Picture 2"/>
            <wp:cNvGraphicFramePr>
              <a:graphicFrameLocks noChangeAspect="1"/>
            </wp:cNvGraphicFramePr>
            <a:graphic>
              <a:graphicData uri="http://schemas.openxmlformats.org/drawingml/2006/picture">
                <pic:pic>
                  <pic:nvPicPr>
                    <pic:cNvPr id="0" name="3_GrayAvg_train_c3_img1.png"/>
                    <pic:cNvPicPr/>
                  </pic:nvPicPr>
                  <pic:blipFill>
                    <a:blip r:embed="rId11"/>
                    <a:stretch>
                      <a:fillRect/>
                    </a:stretch>
                  </pic:blipFill>
                  <pic:spPr>
                    <a:xfrm>
                      <a:off x="0" y="0"/>
                      <a:ext cx="5120640" cy="1253243"/>
                    </a:xfrm>
                    <a:prstGeom prst="rect"/>
                  </pic:spPr>
                </pic:pic>
              </a:graphicData>
            </a:graphic>
          </wp:inline>
        </w:drawing>
      </w:r>
    </w:p>
    <w:p>
      <w:pPr>
        <w:spacing w:before="0" w:after="200"/>
        <w:jc w:val="center"/>
      </w:pPr>
      <w:r>
        <w:rPr>
          <w:rFonts w:ascii="Times New Roman" w:hAnsi="Times New Roman"/>
          <w:i/>
          <w:color w:val="3C3C3C"/>
          <w:sz w:val="19"/>
        </w:rPr>
        <w:t>Gambar 1. Contoh Citra CIFAR-10 Hasil Transformasi Grayscale Arithmetic Average (32x32x1)</w:t>
      </w:r>
    </w:p>
    <w:p>
      <w:pPr>
        <w:keepNext/>
        <w:spacing w:before="280" w:after="80"/>
      </w:pPr>
      <w:r>
        <w:rPr>
          <w:rFonts w:ascii="Times New Roman" w:hAnsi="Times New Roman"/>
          <w:b/>
          <w:color w:val="2E5339"/>
          <w:sz w:val="26"/>
        </w:rPr>
        <w:t>6. Pre-processing Data</w:t>
      </w:r>
    </w:p>
    <w:p>
      <w:pPr>
        <w:spacing w:before="0" w:after="100" w:line="276" w:lineRule="auto"/>
        <w:jc w:val="both"/>
      </w:pPr>
      <w:r>
        <w:rPr>
          <w:rFonts w:ascii="Times New Roman" w:hAnsi="Times New Roman"/>
          <w:i w:val="0"/>
          <w:sz w:val="23"/>
        </w:rPr>
        <w:t>Nilai piksel hasil rata-rata dinormalisasi ke rentang [0.0, 1.0] dengan membagi dengan 255.0. Label kelas dikonversi ke format One-Hot Encoding berdimensi 10.</w:t>
      </w:r>
    </w:p>
    <w:p>
      <w:pPr>
        <w:keepNext/>
        <w:spacing w:before="280" w:after="80"/>
      </w:pPr>
      <w:r>
        <w:rPr>
          <w:rFonts w:ascii="Times New Roman" w:hAnsi="Times New Roman"/>
          <w:b/>
          <w:color w:val="2E5339"/>
          <w:sz w:val="26"/>
        </w:rPr>
        <w:t>7. Pembagian Dataset (Anti-Data Leakage)</w:t>
      </w:r>
    </w:p>
    <w:p>
      <w:pPr>
        <w:pStyle w:val="ListBullet"/>
        <w:spacing w:before="0" w:after="60" w:line="276" w:lineRule="auto"/>
        <w:jc w:val="both"/>
      </w:pPr>
      <w:r>
        <w:rPr>
          <w:rFonts w:ascii="Times New Roman" w:hAnsi="Times New Roman"/>
          <w:b/>
          <w:sz w:val="23"/>
        </w:rPr>
        <w:t xml:space="preserve">1. CNN Training Set: </w:t>
      </w:r>
      <w:r>
        <w:rPr>
          <w:rFonts w:ascii="Times New Roman" w:hAnsi="Times New Roman"/>
          <w:sz w:val="23"/>
        </w:rPr>
        <w:t>40.000 sampel (80%) untuk melatih bobot konvolusi CNN.</w:t>
      </w:r>
    </w:p>
    <w:p>
      <w:pPr>
        <w:pStyle w:val="ListBullet"/>
        <w:spacing w:before="0" w:after="60" w:line="276" w:lineRule="auto"/>
        <w:jc w:val="both"/>
      </w:pPr>
      <w:r>
        <w:rPr>
          <w:rFonts w:ascii="Times New Roman" w:hAnsi="Times New Roman"/>
          <w:b/>
          <w:sz w:val="23"/>
        </w:rPr>
        <w:t xml:space="preserve">2. CNN Validation Set: </w:t>
      </w:r>
      <w:r>
        <w:rPr>
          <w:rFonts w:ascii="Times New Roman" w:hAnsi="Times New Roman"/>
          <w:sz w:val="23"/>
        </w:rPr>
        <w:t>5.000 sampel (10%) untuk validasi internal dan model checkpoint.</w:t>
      </w:r>
    </w:p>
    <w:p>
      <w:pPr>
        <w:pStyle w:val="ListBullet"/>
        <w:spacing w:before="0" w:after="60" w:line="276" w:lineRule="auto"/>
        <w:jc w:val="both"/>
      </w:pPr>
      <w:r>
        <w:rPr>
          <w:rFonts w:ascii="Times New Roman" w:hAnsi="Times New Roman"/>
          <w:b/>
          <w:sz w:val="23"/>
        </w:rPr>
        <w:t xml:space="preserve">3. Independent SVM Validation Set: </w:t>
      </w:r>
      <w:r>
        <w:rPr>
          <w:rFonts w:ascii="Times New Roman" w:hAnsi="Times New Roman"/>
          <w:sz w:val="23"/>
        </w:rPr>
        <w:t>5.000 sampel (10%) disimpan terisolasi untuk tuning parameter SVM.</w:t>
      </w:r>
    </w:p>
    <w:p>
      <w:pPr>
        <w:pStyle w:val="ListBullet"/>
        <w:spacing w:before="0" w:after="60" w:line="276" w:lineRule="auto"/>
        <w:jc w:val="both"/>
      </w:pPr>
      <w:r>
        <w:rPr>
          <w:rFonts w:ascii="Times New Roman" w:hAnsi="Times New Roman"/>
          <w:b/>
          <w:sz w:val="23"/>
        </w:rPr>
        <w:t xml:space="preserve">4. Official Test Set: </w:t>
      </w:r>
      <w:r>
        <w:rPr>
          <w:rFonts w:ascii="Times New Roman" w:hAnsi="Times New Roman"/>
          <w:sz w:val="23"/>
        </w:rPr>
        <w:t>10.000 sampel official test set tidak digunakan sama sekali pada tahap training.</w:t>
      </w:r>
    </w:p>
    <w:p>
      <w:pPr>
        <w:keepNext/>
        <w:spacing w:before="280" w:after="80"/>
      </w:pPr>
      <w:r>
        <w:rPr>
          <w:rFonts w:ascii="Times New Roman" w:hAnsi="Times New Roman"/>
          <w:b/>
          <w:color w:val="2E5339"/>
          <w:sz w:val="26"/>
        </w:rPr>
        <w:t>8. Model Building (Custom CNN: custom_cnn_avg)</w:t>
      </w:r>
    </w:p>
    <w:p>
      <w:pPr>
        <w:spacing w:before="0" w:after="100" w:line="276" w:lineRule="auto"/>
        <w:jc w:val="both"/>
      </w:pPr>
      <w:r>
        <w:rPr>
          <w:rFonts w:ascii="Times New Roman" w:hAnsi="Times New Roman"/>
          <w:i w:val="0"/>
          <w:sz w:val="23"/>
        </w:rPr>
        <w:t>Arsitektur model memiliki 4 blok residual terstruktur dengan input disesuaikan menjadi InputLayer(shape=(32, 32, 1)). Total parameter: 5.134.794 parameter (Trainable: 5.129.930 parameter).</w:t>
      </w:r>
    </w:p>
    <w:p>
      <w:pPr>
        <w:keepNext/>
        <w:spacing w:before="280" w:after="80"/>
      </w:pPr>
      <w:r>
        <w:rPr>
          <w:rFonts w:ascii="Times New Roman" w:hAnsi="Times New Roman"/>
          <w:b/>
          <w:color w:val="2E5339"/>
          <w:sz w:val="26"/>
        </w:rPr>
        <w:t>9. Training Configuration</w:t>
      </w:r>
    </w:p>
    <w:p>
      <w:pPr>
        <w:spacing w:before="0" w:after="100" w:line="276" w:lineRule="auto"/>
        <w:jc w:val="both"/>
      </w:pPr>
      <w:r>
        <w:rPr>
          <w:rFonts w:ascii="Times New Roman" w:hAnsi="Times New Roman"/>
          <w:i w:val="0"/>
          <w:sz w:val="23"/>
        </w:rPr>
        <w:t>Pelatihan menggunakan optimizer AdamW, Cosine Annealing Decay (100 epoch, lr: 0.001 -&gt; 1.02e-05), batch size 64, dan data augmentation.</w:t>
      </w:r>
    </w:p>
    <w:p>
      <w:pPr>
        <w:keepNext/>
        <w:spacing w:before="280" w:after="80"/>
      </w:pPr>
      <w:r>
        <w:rPr>
          <w:rFonts w:ascii="Times New Roman" w:hAnsi="Times New Roman"/>
          <w:b/>
          <w:color w:val="2E5339"/>
          <w:sz w:val="26"/>
        </w:rPr>
        <w:t>10. Proses Training</w:t>
      </w:r>
    </w:p>
    <w:p>
      <w:pPr>
        <w:spacing w:before="0" w:after="100" w:line="276" w:lineRule="auto"/>
        <w:jc w:val="both"/>
      </w:pPr>
      <w:r>
        <w:rPr>
          <w:rFonts w:ascii="Times New Roman" w:hAnsi="Times New Roman"/>
          <w:i w:val="0"/>
          <w:sz w:val="23"/>
        </w:rPr>
        <w:t>Tabel 1 menyajikan riwayat epoch pelatihan model CNN Grayscale Average:</w:t>
      </w:r>
    </w:p>
    <w:tbl>
      <w:tblPr>
        <w:tblW w:type="auto" w:w="0"/>
        <w:jc w:val="center"/>
        <w:tblLayout w:type="fixed"/>
        <w:tblLook w:firstColumn="1" w:firstRow="1" w:lastColumn="0" w:lastRow="0" w:noHBand="0" w:noVBand="1" w:val="04A0"/>
        <w:tblBorders>
          <w:top w:val="single" w:sz="4" w:space="0" w:color="555555"/>
          <w:bottom w:val="single" w:sz="4" w:space="0" w:color="555555"/>
          <w:left w:val="single" w:sz="4" w:space="0" w:color="555555"/>
          <w:right w:val="single" w:sz="4" w:space="0" w:color="555555"/>
          <w:insideH w:val="single" w:sz="4" w:space="0" w:color="555555"/>
          <w:insideV w:val="single" w:sz="4" w:space="0" w:color="555555"/>
        </w:tblBorders>
      </w:tblPr>
      <w:tblGrid>
        <w:gridCol w:w="1505"/>
        <w:gridCol w:w="1505"/>
        <w:gridCol w:w="1505"/>
        <w:gridCol w:w="1505"/>
        <w:gridCol w:w="1505"/>
        <w:gridCol w:w="1505"/>
      </w:tblGrid>
      <w:tr>
        <w:tc>
          <w:tcPr>
            <w:tcW w:type="dxa" w:w="1584"/>
            <w:shd w:fill="2E5339"/>
            <w:tcMar>
              <w:top w:w="110" w:type="dxa"/>
              <w:bottom w:w="110" w:type="dxa"/>
              <w:left w:w="130" w:type="dxa"/>
              <w:right w:w="130" w:type="dxa"/>
            </w:tcMar>
          </w:tcPr>
          <w:p>
            <w:pPr>
              <w:jc w:val="center"/>
            </w:pPr>
            <w:r>
              <w:rPr>
                <w:rFonts w:ascii="Times New Roman" w:hAnsi="Times New Roman"/>
                <w:b/>
                <w:color w:val="FFFFFF"/>
                <w:sz w:val="20"/>
              </w:rPr>
              <w:t>Epoch</w:t>
            </w:r>
          </w:p>
        </w:tc>
        <w:tc>
          <w:tcPr>
            <w:tcW w:type="dxa" w:w="1440"/>
            <w:shd w:fill="2E5339"/>
            <w:tcMar>
              <w:top w:w="110" w:type="dxa"/>
              <w:bottom w:w="110" w:type="dxa"/>
              <w:left w:w="130" w:type="dxa"/>
              <w:right w:w="130" w:type="dxa"/>
            </w:tcMar>
          </w:tcPr>
          <w:p>
            <w:pPr>
              <w:jc w:val="center"/>
            </w:pPr>
            <w:r>
              <w:rPr>
                <w:rFonts w:ascii="Times New Roman" w:hAnsi="Times New Roman"/>
                <w:b/>
                <w:color w:val="FFFFFF"/>
                <w:sz w:val="20"/>
              </w:rPr>
              <w:t>Train Loss</w:t>
            </w:r>
          </w:p>
        </w:tc>
        <w:tc>
          <w:tcPr>
            <w:tcW w:type="dxa" w:w="1440"/>
            <w:shd w:fill="2E5339"/>
            <w:tcMar>
              <w:top w:w="110" w:type="dxa"/>
              <w:bottom w:w="110" w:type="dxa"/>
              <w:left w:w="130" w:type="dxa"/>
              <w:right w:w="130" w:type="dxa"/>
            </w:tcMar>
          </w:tcPr>
          <w:p>
            <w:pPr>
              <w:jc w:val="center"/>
            </w:pPr>
            <w:r>
              <w:rPr>
                <w:rFonts w:ascii="Times New Roman" w:hAnsi="Times New Roman"/>
                <w:b/>
                <w:color w:val="FFFFFF"/>
                <w:sz w:val="20"/>
              </w:rPr>
              <w:t>Train Acc</w:t>
            </w:r>
          </w:p>
        </w:tc>
        <w:tc>
          <w:tcPr>
            <w:tcW w:type="dxa" w:w="1440"/>
            <w:shd w:fill="2E5339"/>
            <w:tcMar>
              <w:top w:w="110" w:type="dxa"/>
              <w:bottom w:w="110" w:type="dxa"/>
              <w:left w:w="130" w:type="dxa"/>
              <w:right w:w="130" w:type="dxa"/>
            </w:tcMar>
          </w:tcPr>
          <w:p>
            <w:pPr>
              <w:jc w:val="center"/>
            </w:pPr>
            <w:r>
              <w:rPr>
                <w:rFonts w:ascii="Times New Roman" w:hAnsi="Times New Roman"/>
                <w:b/>
                <w:color w:val="FFFFFF"/>
                <w:sz w:val="20"/>
              </w:rPr>
              <w:t>Val Loss</w:t>
            </w:r>
          </w:p>
        </w:tc>
        <w:tc>
          <w:tcPr>
            <w:tcW w:type="dxa" w:w="1440"/>
            <w:shd w:fill="2E5339"/>
            <w:tcMar>
              <w:top w:w="110" w:type="dxa"/>
              <w:bottom w:w="110" w:type="dxa"/>
              <w:left w:w="130" w:type="dxa"/>
              <w:right w:w="130" w:type="dxa"/>
            </w:tcMar>
          </w:tcPr>
          <w:p>
            <w:pPr>
              <w:jc w:val="center"/>
            </w:pPr>
            <w:r>
              <w:rPr>
                <w:rFonts w:ascii="Times New Roman" w:hAnsi="Times New Roman"/>
                <w:b/>
                <w:color w:val="FFFFFF"/>
                <w:sz w:val="20"/>
              </w:rPr>
              <w:t>Val Acc</w:t>
            </w:r>
          </w:p>
        </w:tc>
        <w:tc>
          <w:tcPr>
            <w:tcW w:type="dxa" w:w="1685"/>
            <w:shd w:fill="2E5339"/>
            <w:tcMar>
              <w:top w:w="110" w:type="dxa"/>
              <w:bottom w:w="110" w:type="dxa"/>
              <w:left w:w="130" w:type="dxa"/>
              <w:right w:w="130" w:type="dxa"/>
            </w:tcMar>
          </w:tcPr>
          <w:p>
            <w:pPr>
              <w:jc w:val="center"/>
            </w:pPr>
            <w:r>
              <w:rPr>
                <w:rFonts w:ascii="Times New Roman" w:hAnsi="Times New Roman"/>
                <w:b/>
                <w:color w:val="FFFFFF"/>
                <w:sz w:val="20"/>
              </w:rPr>
              <w:t>Learning Rate</w:t>
            </w:r>
          </w:p>
        </w:tc>
      </w:tr>
      <w:tr>
        <w:tc>
          <w:tcPr>
            <w:tcW w:type="dxa" w:w="1584"/>
            <w:shd w:fill="FFFFFF"/>
            <w:tcMar>
              <w:top w:w="80" w:type="dxa"/>
              <w:bottom w:w="80" w:type="dxa"/>
              <w:left w:w="120" w:type="dxa"/>
              <w:right w:w="120" w:type="dxa"/>
            </w:tcMar>
          </w:tcPr>
          <w:p>
            <w:pPr>
              <w:jc w:val="center"/>
            </w:pPr>
            <w:r>
              <w:rPr>
                <w:rFonts w:ascii="Times New Roman" w:hAnsi="Times New Roman"/>
                <w:sz w:val="19"/>
              </w:rPr>
              <w:t>1</w:t>
            </w:r>
          </w:p>
        </w:tc>
        <w:tc>
          <w:tcPr>
            <w:tcW w:type="dxa" w:w="1440"/>
            <w:shd w:fill="FFFFFF"/>
            <w:tcMar>
              <w:top w:w="80" w:type="dxa"/>
              <w:bottom w:w="80" w:type="dxa"/>
              <w:left w:w="120" w:type="dxa"/>
              <w:right w:w="120" w:type="dxa"/>
            </w:tcMar>
          </w:tcPr>
          <w:p>
            <w:pPr>
              <w:jc w:val="center"/>
            </w:pPr>
            <w:r>
              <w:rPr>
                <w:rFonts w:ascii="Times New Roman" w:hAnsi="Times New Roman"/>
                <w:sz w:val="19"/>
              </w:rPr>
              <w:t>2.1194</w:t>
            </w:r>
          </w:p>
        </w:tc>
        <w:tc>
          <w:tcPr>
            <w:tcW w:type="dxa" w:w="1440"/>
            <w:shd w:fill="FFFFFF"/>
            <w:tcMar>
              <w:top w:w="80" w:type="dxa"/>
              <w:bottom w:w="80" w:type="dxa"/>
              <w:left w:w="120" w:type="dxa"/>
              <w:right w:w="120" w:type="dxa"/>
            </w:tcMar>
          </w:tcPr>
          <w:p>
            <w:pPr>
              <w:jc w:val="left"/>
            </w:pPr>
            <w:r>
              <w:rPr>
                <w:rFonts w:ascii="Times New Roman" w:hAnsi="Times New Roman"/>
                <w:sz w:val="19"/>
              </w:rPr>
              <w:t>39.32%</w:t>
            </w:r>
          </w:p>
        </w:tc>
        <w:tc>
          <w:tcPr>
            <w:tcW w:type="dxa" w:w="1440"/>
            <w:shd w:fill="FFFFFF"/>
            <w:tcMar>
              <w:top w:w="80" w:type="dxa"/>
              <w:bottom w:w="80" w:type="dxa"/>
              <w:left w:w="120" w:type="dxa"/>
              <w:right w:w="120" w:type="dxa"/>
            </w:tcMar>
          </w:tcPr>
          <w:p>
            <w:pPr>
              <w:jc w:val="center"/>
            </w:pPr>
            <w:r>
              <w:rPr>
                <w:rFonts w:ascii="Times New Roman" w:hAnsi="Times New Roman"/>
                <w:sz w:val="19"/>
              </w:rPr>
              <w:t>2.1756</w:t>
            </w:r>
          </w:p>
        </w:tc>
        <w:tc>
          <w:tcPr>
            <w:tcW w:type="dxa" w:w="1440"/>
            <w:shd w:fill="FFFFFF"/>
            <w:tcMar>
              <w:top w:w="80" w:type="dxa"/>
              <w:bottom w:w="80" w:type="dxa"/>
              <w:left w:w="120" w:type="dxa"/>
              <w:right w:w="120" w:type="dxa"/>
            </w:tcMar>
          </w:tcPr>
          <w:p>
            <w:pPr>
              <w:jc w:val="left"/>
            </w:pPr>
            <w:r>
              <w:rPr>
                <w:rFonts w:ascii="Times New Roman" w:hAnsi="Times New Roman"/>
                <w:sz w:val="19"/>
              </w:rPr>
              <w:t>38.56%</w:t>
            </w:r>
          </w:p>
        </w:tc>
        <w:tc>
          <w:tcPr>
            <w:tcW w:type="dxa" w:w="1685"/>
            <w:shd w:fill="FFFFFF"/>
            <w:tcMar>
              <w:top w:w="80" w:type="dxa"/>
              <w:bottom w:w="80" w:type="dxa"/>
              <w:left w:w="120" w:type="dxa"/>
              <w:right w:w="120" w:type="dxa"/>
            </w:tcMar>
          </w:tcPr>
          <w:p>
            <w:pPr>
              <w:jc w:val="left"/>
            </w:pPr>
            <w:r>
              <w:rPr>
                <w:rFonts w:ascii="Times New Roman" w:hAnsi="Times New Roman"/>
                <w:sz w:val="19"/>
              </w:rPr>
              <w:t>0.001000</w:t>
            </w:r>
          </w:p>
        </w:tc>
      </w:tr>
      <w:tr>
        <w:tc>
          <w:tcPr>
            <w:tcW w:type="dxa" w:w="1584"/>
            <w:shd w:fill="F4F7F5"/>
            <w:tcMar>
              <w:top w:w="80" w:type="dxa"/>
              <w:bottom w:w="80" w:type="dxa"/>
              <w:left w:w="120" w:type="dxa"/>
              <w:right w:w="120" w:type="dxa"/>
            </w:tcMar>
          </w:tcPr>
          <w:p>
            <w:pPr>
              <w:jc w:val="center"/>
            </w:pPr>
            <w:r>
              <w:rPr>
                <w:rFonts w:ascii="Times New Roman" w:hAnsi="Times New Roman"/>
                <w:sz w:val="19"/>
              </w:rPr>
              <w:t>10</w:t>
            </w:r>
          </w:p>
        </w:tc>
        <w:tc>
          <w:tcPr>
            <w:tcW w:type="dxa" w:w="1440"/>
            <w:shd w:fill="F4F7F5"/>
            <w:tcMar>
              <w:top w:w="80" w:type="dxa"/>
              <w:bottom w:w="80" w:type="dxa"/>
              <w:left w:w="120" w:type="dxa"/>
              <w:right w:w="120" w:type="dxa"/>
            </w:tcMar>
          </w:tcPr>
          <w:p>
            <w:pPr>
              <w:jc w:val="center"/>
            </w:pPr>
            <w:r>
              <w:rPr>
                <w:rFonts w:ascii="Times New Roman" w:hAnsi="Times New Roman"/>
                <w:sz w:val="19"/>
              </w:rPr>
              <w:t>1.1480</w:t>
            </w:r>
          </w:p>
        </w:tc>
        <w:tc>
          <w:tcPr>
            <w:tcW w:type="dxa" w:w="1440"/>
            <w:shd w:fill="F4F7F5"/>
            <w:tcMar>
              <w:top w:w="80" w:type="dxa"/>
              <w:bottom w:w="80" w:type="dxa"/>
              <w:left w:w="120" w:type="dxa"/>
              <w:right w:w="120" w:type="dxa"/>
            </w:tcMar>
          </w:tcPr>
          <w:p>
            <w:pPr>
              <w:jc w:val="left"/>
            </w:pPr>
            <w:r>
              <w:rPr>
                <w:rFonts w:ascii="Times New Roman" w:hAnsi="Times New Roman"/>
                <w:sz w:val="19"/>
              </w:rPr>
              <w:t>71.80%</w:t>
            </w:r>
          </w:p>
        </w:tc>
        <w:tc>
          <w:tcPr>
            <w:tcW w:type="dxa" w:w="1440"/>
            <w:shd w:fill="F4F7F5"/>
            <w:tcMar>
              <w:top w:w="80" w:type="dxa"/>
              <w:bottom w:w="80" w:type="dxa"/>
              <w:left w:w="120" w:type="dxa"/>
              <w:right w:w="120" w:type="dxa"/>
            </w:tcMar>
          </w:tcPr>
          <w:p>
            <w:pPr>
              <w:jc w:val="center"/>
            </w:pPr>
            <w:r>
              <w:rPr>
                <w:rFonts w:ascii="Times New Roman" w:hAnsi="Times New Roman"/>
                <w:sz w:val="19"/>
              </w:rPr>
              <w:t>1.1210</w:t>
            </w:r>
          </w:p>
        </w:tc>
        <w:tc>
          <w:tcPr>
            <w:tcW w:type="dxa" w:w="1440"/>
            <w:shd w:fill="F4F7F5"/>
            <w:tcMar>
              <w:top w:w="80" w:type="dxa"/>
              <w:bottom w:w="80" w:type="dxa"/>
              <w:left w:w="120" w:type="dxa"/>
              <w:right w:w="120" w:type="dxa"/>
            </w:tcMar>
          </w:tcPr>
          <w:p>
            <w:pPr>
              <w:jc w:val="left"/>
            </w:pPr>
            <w:r>
              <w:rPr>
                <w:rFonts w:ascii="Times New Roman" w:hAnsi="Times New Roman"/>
                <w:sz w:val="19"/>
              </w:rPr>
              <w:t>72.40%</w:t>
            </w:r>
          </w:p>
        </w:tc>
        <w:tc>
          <w:tcPr>
            <w:tcW w:type="dxa" w:w="1685"/>
            <w:shd w:fill="F4F7F5"/>
            <w:tcMar>
              <w:top w:w="80" w:type="dxa"/>
              <w:bottom w:w="80" w:type="dxa"/>
              <w:left w:w="120" w:type="dxa"/>
              <w:right w:w="120" w:type="dxa"/>
            </w:tcMar>
          </w:tcPr>
          <w:p>
            <w:pPr>
              <w:jc w:val="left"/>
            </w:pPr>
            <w:r>
              <w:rPr>
                <w:rFonts w:ascii="Times New Roman" w:hAnsi="Times New Roman"/>
                <w:sz w:val="19"/>
              </w:rPr>
              <w:t>0.000965</w:t>
            </w:r>
          </w:p>
        </w:tc>
      </w:tr>
      <w:tr>
        <w:tc>
          <w:tcPr>
            <w:tcW w:type="dxa" w:w="1584"/>
            <w:shd w:fill="FFFFFF"/>
            <w:tcMar>
              <w:top w:w="80" w:type="dxa"/>
              <w:bottom w:w="80" w:type="dxa"/>
              <w:left w:w="120" w:type="dxa"/>
              <w:right w:w="120" w:type="dxa"/>
            </w:tcMar>
          </w:tcPr>
          <w:p>
            <w:pPr>
              <w:jc w:val="center"/>
            </w:pPr>
            <w:r>
              <w:rPr>
                <w:rFonts w:ascii="Times New Roman" w:hAnsi="Times New Roman"/>
                <w:sz w:val="19"/>
              </w:rPr>
              <w:t>25</w:t>
            </w:r>
          </w:p>
        </w:tc>
        <w:tc>
          <w:tcPr>
            <w:tcW w:type="dxa" w:w="1440"/>
            <w:shd w:fill="FFFFFF"/>
            <w:tcMar>
              <w:top w:w="80" w:type="dxa"/>
              <w:bottom w:w="80" w:type="dxa"/>
              <w:left w:w="120" w:type="dxa"/>
              <w:right w:w="120" w:type="dxa"/>
            </w:tcMar>
          </w:tcPr>
          <w:p>
            <w:pPr>
              <w:jc w:val="center"/>
            </w:pPr>
            <w:r>
              <w:rPr>
                <w:rFonts w:ascii="Times New Roman" w:hAnsi="Times New Roman"/>
                <w:sz w:val="19"/>
              </w:rPr>
              <w:t>0.8920</w:t>
            </w:r>
          </w:p>
        </w:tc>
        <w:tc>
          <w:tcPr>
            <w:tcW w:type="dxa" w:w="1440"/>
            <w:shd w:fill="FFFFFF"/>
            <w:tcMar>
              <w:top w:w="80" w:type="dxa"/>
              <w:bottom w:w="80" w:type="dxa"/>
              <w:left w:w="120" w:type="dxa"/>
              <w:right w:w="120" w:type="dxa"/>
            </w:tcMar>
          </w:tcPr>
          <w:p>
            <w:pPr>
              <w:jc w:val="left"/>
            </w:pPr>
            <w:r>
              <w:rPr>
                <w:rFonts w:ascii="Times New Roman" w:hAnsi="Times New Roman"/>
                <w:sz w:val="19"/>
              </w:rPr>
              <w:t>82.50%</w:t>
            </w:r>
          </w:p>
        </w:tc>
        <w:tc>
          <w:tcPr>
            <w:tcW w:type="dxa" w:w="1440"/>
            <w:shd w:fill="FFFFFF"/>
            <w:tcMar>
              <w:top w:w="80" w:type="dxa"/>
              <w:bottom w:w="80" w:type="dxa"/>
              <w:left w:w="120" w:type="dxa"/>
              <w:right w:w="120" w:type="dxa"/>
            </w:tcMar>
          </w:tcPr>
          <w:p>
            <w:pPr>
              <w:jc w:val="center"/>
            </w:pPr>
            <w:r>
              <w:rPr>
                <w:rFonts w:ascii="Times New Roman" w:hAnsi="Times New Roman"/>
                <w:sz w:val="19"/>
              </w:rPr>
              <w:t>0.9140</w:t>
            </w:r>
          </w:p>
        </w:tc>
        <w:tc>
          <w:tcPr>
            <w:tcW w:type="dxa" w:w="1440"/>
            <w:shd w:fill="FFFFFF"/>
            <w:tcMar>
              <w:top w:w="80" w:type="dxa"/>
              <w:bottom w:w="80" w:type="dxa"/>
              <w:left w:w="120" w:type="dxa"/>
              <w:right w:w="120" w:type="dxa"/>
            </w:tcMar>
          </w:tcPr>
          <w:p>
            <w:pPr>
              <w:jc w:val="left"/>
            </w:pPr>
            <w:r>
              <w:rPr>
                <w:rFonts w:ascii="Times New Roman" w:hAnsi="Times New Roman"/>
                <w:sz w:val="19"/>
              </w:rPr>
              <w:t>81.90%</w:t>
            </w:r>
          </w:p>
        </w:tc>
        <w:tc>
          <w:tcPr>
            <w:tcW w:type="dxa" w:w="1685"/>
            <w:shd w:fill="FFFFFF"/>
            <w:tcMar>
              <w:top w:w="80" w:type="dxa"/>
              <w:bottom w:w="80" w:type="dxa"/>
              <w:left w:w="120" w:type="dxa"/>
              <w:right w:w="120" w:type="dxa"/>
            </w:tcMar>
          </w:tcPr>
          <w:p>
            <w:pPr>
              <w:jc w:val="left"/>
            </w:pPr>
            <w:r>
              <w:rPr>
                <w:rFonts w:ascii="Times New Roman" w:hAnsi="Times New Roman"/>
                <w:sz w:val="19"/>
              </w:rPr>
              <w:t>0.000854</w:t>
            </w:r>
          </w:p>
        </w:tc>
      </w:tr>
      <w:tr>
        <w:tc>
          <w:tcPr>
            <w:tcW w:type="dxa" w:w="1584"/>
            <w:shd w:fill="F4F7F5"/>
            <w:tcMar>
              <w:top w:w="80" w:type="dxa"/>
              <w:bottom w:w="80" w:type="dxa"/>
              <w:left w:w="120" w:type="dxa"/>
              <w:right w:w="120" w:type="dxa"/>
            </w:tcMar>
          </w:tcPr>
          <w:p>
            <w:pPr>
              <w:jc w:val="center"/>
            </w:pPr>
            <w:r>
              <w:rPr>
                <w:rFonts w:ascii="Times New Roman" w:hAnsi="Times New Roman"/>
                <w:sz w:val="19"/>
              </w:rPr>
              <w:t>50</w:t>
            </w:r>
          </w:p>
        </w:tc>
        <w:tc>
          <w:tcPr>
            <w:tcW w:type="dxa" w:w="1440"/>
            <w:shd w:fill="F4F7F5"/>
            <w:tcMar>
              <w:top w:w="80" w:type="dxa"/>
              <w:bottom w:w="80" w:type="dxa"/>
              <w:left w:w="120" w:type="dxa"/>
              <w:right w:w="120" w:type="dxa"/>
            </w:tcMar>
          </w:tcPr>
          <w:p>
            <w:pPr>
              <w:jc w:val="center"/>
            </w:pPr>
            <w:r>
              <w:rPr>
                <w:rFonts w:ascii="Times New Roman" w:hAnsi="Times New Roman"/>
                <w:sz w:val="19"/>
              </w:rPr>
              <w:t>0.7130</w:t>
            </w:r>
          </w:p>
        </w:tc>
        <w:tc>
          <w:tcPr>
            <w:tcW w:type="dxa" w:w="1440"/>
            <w:shd w:fill="F4F7F5"/>
            <w:tcMar>
              <w:top w:w="80" w:type="dxa"/>
              <w:bottom w:w="80" w:type="dxa"/>
              <w:left w:w="120" w:type="dxa"/>
              <w:right w:w="120" w:type="dxa"/>
            </w:tcMar>
          </w:tcPr>
          <w:p>
            <w:pPr>
              <w:jc w:val="left"/>
            </w:pPr>
            <w:r>
              <w:rPr>
                <w:rFonts w:ascii="Times New Roman" w:hAnsi="Times New Roman"/>
                <w:sz w:val="19"/>
              </w:rPr>
              <w:t>89.40%</w:t>
            </w:r>
          </w:p>
        </w:tc>
        <w:tc>
          <w:tcPr>
            <w:tcW w:type="dxa" w:w="1440"/>
            <w:shd w:fill="F4F7F5"/>
            <w:tcMar>
              <w:top w:w="80" w:type="dxa"/>
              <w:bottom w:w="80" w:type="dxa"/>
              <w:left w:w="120" w:type="dxa"/>
              <w:right w:w="120" w:type="dxa"/>
            </w:tcMar>
          </w:tcPr>
          <w:p>
            <w:pPr>
              <w:jc w:val="center"/>
            </w:pPr>
            <w:r>
              <w:rPr>
                <w:rFonts w:ascii="Times New Roman" w:hAnsi="Times New Roman"/>
                <w:sz w:val="19"/>
              </w:rPr>
              <w:t>0.8250</w:t>
            </w:r>
          </w:p>
        </w:tc>
        <w:tc>
          <w:tcPr>
            <w:tcW w:type="dxa" w:w="1440"/>
            <w:shd w:fill="F4F7F5"/>
            <w:tcMar>
              <w:top w:w="80" w:type="dxa"/>
              <w:bottom w:w="80" w:type="dxa"/>
              <w:left w:w="120" w:type="dxa"/>
              <w:right w:w="120" w:type="dxa"/>
            </w:tcMar>
          </w:tcPr>
          <w:p>
            <w:pPr>
              <w:jc w:val="left"/>
            </w:pPr>
            <w:r>
              <w:rPr>
                <w:rFonts w:ascii="Times New Roman" w:hAnsi="Times New Roman"/>
                <w:sz w:val="19"/>
              </w:rPr>
              <w:t>88.10%</w:t>
            </w:r>
          </w:p>
        </w:tc>
        <w:tc>
          <w:tcPr>
            <w:tcW w:type="dxa" w:w="1685"/>
            <w:shd w:fill="F4F7F5"/>
            <w:tcMar>
              <w:top w:w="80" w:type="dxa"/>
              <w:bottom w:w="80" w:type="dxa"/>
              <w:left w:w="120" w:type="dxa"/>
              <w:right w:w="120" w:type="dxa"/>
            </w:tcMar>
          </w:tcPr>
          <w:p>
            <w:pPr>
              <w:jc w:val="left"/>
            </w:pPr>
            <w:r>
              <w:rPr>
                <w:rFonts w:ascii="Times New Roman" w:hAnsi="Times New Roman"/>
                <w:sz w:val="19"/>
              </w:rPr>
              <w:t>0.000500</w:t>
            </w:r>
          </w:p>
        </w:tc>
      </w:tr>
      <w:tr>
        <w:tc>
          <w:tcPr>
            <w:tcW w:type="dxa" w:w="1584"/>
            <w:shd w:fill="FFFFFF"/>
            <w:tcMar>
              <w:top w:w="80" w:type="dxa"/>
              <w:bottom w:w="80" w:type="dxa"/>
              <w:left w:w="120" w:type="dxa"/>
              <w:right w:w="120" w:type="dxa"/>
            </w:tcMar>
          </w:tcPr>
          <w:p>
            <w:pPr>
              <w:jc w:val="center"/>
            </w:pPr>
            <w:r>
              <w:rPr>
                <w:rFonts w:ascii="Times New Roman" w:hAnsi="Times New Roman"/>
                <w:sz w:val="19"/>
              </w:rPr>
              <w:t>75</w:t>
            </w:r>
          </w:p>
        </w:tc>
        <w:tc>
          <w:tcPr>
            <w:tcW w:type="dxa" w:w="1440"/>
            <w:shd w:fill="FFFFFF"/>
            <w:tcMar>
              <w:top w:w="80" w:type="dxa"/>
              <w:bottom w:w="80" w:type="dxa"/>
              <w:left w:w="120" w:type="dxa"/>
              <w:right w:w="120" w:type="dxa"/>
            </w:tcMar>
          </w:tcPr>
          <w:p>
            <w:pPr>
              <w:jc w:val="center"/>
            </w:pPr>
            <w:r>
              <w:rPr>
                <w:rFonts w:ascii="Times New Roman" w:hAnsi="Times New Roman"/>
                <w:sz w:val="19"/>
              </w:rPr>
              <w:t>0.6450</w:t>
            </w:r>
          </w:p>
        </w:tc>
        <w:tc>
          <w:tcPr>
            <w:tcW w:type="dxa" w:w="1440"/>
            <w:shd w:fill="FFFFFF"/>
            <w:tcMar>
              <w:top w:w="80" w:type="dxa"/>
              <w:bottom w:w="80" w:type="dxa"/>
              <w:left w:w="120" w:type="dxa"/>
              <w:right w:w="120" w:type="dxa"/>
            </w:tcMar>
          </w:tcPr>
          <w:p>
            <w:pPr>
              <w:jc w:val="left"/>
            </w:pPr>
            <w:r>
              <w:rPr>
                <w:rFonts w:ascii="Times New Roman" w:hAnsi="Times New Roman"/>
                <w:sz w:val="19"/>
              </w:rPr>
              <w:t>94.80%</w:t>
            </w:r>
          </w:p>
        </w:tc>
        <w:tc>
          <w:tcPr>
            <w:tcW w:type="dxa" w:w="1440"/>
            <w:shd w:fill="FFFFFF"/>
            <w:tcMar>
              <w:top w:w="80" w:type="dxa"/>
              <w:bottom w:w="80" w:type="dxa"/>
              <w:left w:w="120" w:type="dxa"/>
              <w:right w:w="120" w:type="dxa"/>
            </w:tcMar>
          </w:tcPr>
          <w:p>
            <w:pPr>
              <w:jc w:val="center"/>
            </w:pPr>
            <w:r>
              <w:rPr>
                <w:rFonts w:ascii="Times New Roman" w:hAnsi="Times New Roman"/>
                <w:sz w:val="19"/>
              </w:rPr>
              <w:t>0.8040</w:t>
            </w:r>
          </w:p>
        </w:tc>
        <w:tc>
          <w:tcPr>
            <w:tcW w:type="dxa" w:w="1440"/>
            <w:shd w:fill="FFFFFF"/>
            <w:tcMar>
              <w:top w:w="80" w:type="dxa"/>
              <w:bottom w:w="80" w:type="dxa"/>
              <w:left w:w="120" w:type="dxa"/>
              <w:right w:w="120" w:type="dxa"/>
            </w:tcMar>
          </w:tcPr>
          <w:p>
            <w:pPr>
              <w:jc w:val="left"/>
            </w:pPr>
            <w:r>
              <w:rPr>
                <w:rFonts w:ascii="Times New Roman" w:hAnsi="Times New Roman"/>
                <w:sz w:val="19"/>
              </w:rPr>
              <w:t>90.20%</w:t>
            </w:r>
          </w:p>
        </w:tc>
        <w:tc>
          <w:tcPr>
            <w:tcW w:type="dxa" w:w="1685"/>
            <w:shd w:fill="FFFFFF"/>
            <w:tcMar>
              <w:top w:w="80" w:type="dxa"/>
              <w:bottom w:w="80" w:type="dxa"/>
              <w:left w:w="120" w:type="dxa"/>
              <w:right w:w="120" w:type="dxa"/>
            </w:tcMar>
          </w:tcPr>
          <w:p>
            <w:pPr>
              <w:jc w:val="left"/>
            </w:pPr>
            <w:r>
              <w:rPr>
                <w:rFonts w:ascii="Times New Roman" w:hAnsi="Times New Roman"/>
                <w:sz w:val="19"/>
              </w:rPr>
              <w:t>0.000146</w:t>
            </w:r>
          </w:p>
        </w:tc>
      </w:tr>
      <w:tr>
        <w:tc>
          <w:tcPr>
            <w:tcW w:type="dxa" w:w="1584"/>
            <w:shd w:fill="F4F7F5"/>
            <w:tcMar>
              <w:top w:w="80" w:type="dxa"/>
              <w:bottom w:w="80" w:type="dxa"/>
              <w:left w:w="120" w:type="dxa"/>
              <w:right w:w="120" w:type="dxa"/>
            </w:tcMar>
          </w:tcPr>
          <w:p>
            <w:pPr>
              <w:jc w:val="center"/>
            </w:pPr>
            <w:r>
              <w:rPr>
                <w:rFonts w:ascii="Times New Roman" w:hAnsi="Times New Roman"/>
                <w:sz w:val="19"/>
              </w:rPr>
              <w:t>100 (Best)</w:t>
            </w:r>
          </w:p>
        </w:tc>
        <w:tc>
          <w:tcPr>
            <w:tcW w:type="dxa" w:w="1440"/>
            <w:shd w:fill="F4F7F5"/>
            <w:tcMar>
              <w:top w:w="80" w:type="dxa"/>
              <w:bottom w:w="80" w:type="dxa"/>
              <w:left w:w="120" w:type="dxa"/>
              <w:right w:w="120" w:type="dxa"/>
            </w:tcMar>
          </w:tcPr>
          <w:p>
            <w:pPr>
              <w:jc w:val="center"/>
            </w:pPr>
            <w:r>
              <w:rPr>
                <w:rFonts w:ascii="Times New Roman" w:hAnsi="Times New Roman"/>
                <w:sz w:val="19"/>
              </w:rPr>
              <w:t>0.6264</w:t>
            </w:r>
          </w:p>
        </w:tc>
        <w:tc>
          <w:tcPr>
            <w:tcW w:type="dxa" w:w="1440"/>
            <w:shd w:fill="F4F7F5"/>
            <w:tcMar>
              <w:top w:w="80" w:type="dxa"/>
              <w:bottom w:w="80" w:type="dxa"/>
              <w:left w:w="120" w:type="dxa"/>
              <w:right w:w="120" w:type="dxa"/>
            </w:tcMar>
          </w:tcPr>
          <w:p>
            <w:pPr>
              <w:jc w:val="left"/>
            </w:pPr>
            <w:r>
              <w:rPr>
                <w:rFonts w:ascii="Times New Roman" w:hAnsi="Times New Roman"/>
                <w:sz w:val="19"/>
              </w:rPr>
              <w:t>97.61%</w:t>
            </w:r>
          </w:p>
        </w:tc>
        <w:tc>
          <w:tcPr>
            <w:tcW w:type="dxa" w:w="1440"/>
            <w:shd w:fill="F4F7F5"/>
            <w:tcMar>
              <w:top w:w="80" w:type="dxa"/>
              <w:bottom w:w="80" w:type="dxa"/>
              <w:left w:w="120" w:type="dxa"/>
              <w:right w:w="120" w:type="dxa"/>
            </w:tcMar>
          </w:tcPr>
          <w:p>
            <w:pPr>
              <w:jc w:val="center"/>
            </w:pPr>
            <w:r>
              <w:rPr>
                <w:rFonts w:ascii="Times New Roman" w:hAnsi="Times New Roman"/>
                <w:sz w:val="19"/>
              </w:rPr>
              <w:t>0.8011</w:t>
            </w:r>
          </w:p>
        </w:tc>
        <w:tc>
          <w:tcPr>
            <w:tcW w:type="dxa" w:w="1440"/>
            <w:shd w:fill="F4F7F5"/>
            <w:tcMar>
              <w:top w:w="80" w:type="dxa"/>
              <w:bottom w:w="80" w:type="dxa"/>
              <w:left w:w="120" w:type="dxa"/>
              <w:right w:w="120" w:type="dxa"/>
            </w:tcMar>
          </w:tcPr>
          <w:p>
            <w:pPr>
              <w:jc w:val="left"/>
            </w:pPr>
            <w:r>
              <w:rPr>
                <w:rFonts w:ascii="Times New Roman" w:hAnsi="Times New Roman"/>
                <w:sz w:val="19"/>
              </w:rPr>
              <w:t>91.00%</w:t>
            </w:r>
          </w:p>
        </w:tc>
        <w:tc>
          <w:tcPr>
            <w:tcW w:type="dxa" w:w="1685"/>
            <w:shd w:fill="F4F7F5"/>
            <w:tcMar>
              <w:top w:w="80" w:type="dxa"/>
              <w:bottom w:w="80" w:type="dxa"/>
              <w:left w:w="120" w:type="dxa"/>
              <w:right w:w="120" w:type="dxa"/>
            </w:tcMar>
          </w:tcPr>
          <w:p>
            <w:pPr>
              <w:jc w:val="left"/>
            </w:pPr>
            <w:r>
              <w:rPr>
                <w:rFonts w:ascii="Times New Roman" w:hAnsi="Times New Roman"/>
                <w:sz w:val="19"/>
              </w:rPr>
              <w:t>0.000010</w:t>
            </w:r>
          </w:p>
        </w:tc>
      </w:tr>
    </w:tbl>
    <w:p>
      <w:pPr>
        <w:spacing w:before="0" w:after="120"/>
      </w:pPr>
    </w:p>
    <w:p>
      <w:pPr>
        <w:spacing w:before="0" w:after="100" w:line="276" w:lineRule="auto"/>
        <w:jc w:val="both"/>
      </w:pPr>
      <w:r>
        <w:rPr>
          <w:rFonts w:ascii="Times New Roman" w:hAnsi="Times New Roman"/>
          <w:i w:val="0"/>
          <w:sz w:val="23"/>
        </w:rPr>
        <w:t>Bobot terbaik yang dipulihkan oleh checkpoint mencapai Val Loss = 0.8011 dan Val Accuracy = 91.00%.</w:t>
      </w:r>
    </w:p>
    <w:p>
      <w:pPr>
        <w:keepNext/>
        <w:spacing w:before="280" w:after="80"/>
      </w:pPr>
      <w:r>
        <w:rPr>
          <w:rFonts w:ascii="Times New Roman" w:hAnsi="Times New Roman"/>
          <w:b/>
          <w:color w:val="2E5339"/>
          <w:sz w:val="26"/>
        </w:rPr>
        <w:t>11. Visualisasi Training</w:t>
      </w:r>
    </w:p>
    <w:p>
      <w:pPr>
        <w:keepNext/>
        <w:spacing w:before="160" w:after="60"/>
        <w:jc w:val="center"/>
      </w:pPr>
      <w:r>
        <w:drawing>
          <wp:inline xmlns:a="http://schemas.openxmlformats.org/drawingml/2006/main" xmlns:pic="http://schemas.openxmlformats.org/drawingml/2006/picture">
            <wp:extent cx="5120640" cy="3649700"/>
            <wp:docPr id="3" name="Picture 3"/>
            <wp:cNvGraphicFramePr>
              <a:graphicFrameLocks noChangeAspect="1"/>
            </wp:cNvGraphicFramePr>
            <a:graphic>
              <a:graphicData uri="http://schemas.openxmlformats.org/drawingml/2006/picture">
                <pic:pic>
                  <pic:nvPicPr>
                    <pic:cNvPr id="0" name="3_GrayAvg_train_c9_img2.png"/>
                    <pic:cNvPicPr/>
                  </pic:nvPicPr>
                  <pic:blipFill>
                    <a:blip r:embed="rId12"/>
                    <a:stretch>
                      <a:fillRect/>
                    </a:stretch>
                  </pic:blipFill>
                  <pic:spPr>
                    <a:xfrm>
                      <a:off x="0" y="0"/>
                      <a:ext cx="5120640" cy="3649700"/>
                    </a:xfrm>
                    <a:prstGeom prst="rect"/>
                  </pic:spPr>
                </pic:pic>
              </a:graphicData>
            </a:graphic>
          </wp:inline>
        </w:drawing>
      </w:r>
    </w:p>
    <w:p>
      <w:pPr>
        <w:spacing w:before="0" w:after="200"/>
        <w:jc w:val="center"/>
      </w:pPr>
      <w:r>
        <w:rPr>
          <w:rFonts w:ascii="Times New Roman" w:hAnsi="Times New Roman"/>
          <w:i/>
          <w:color w:val="3C3C3C"/>
          <w:sz w:val="19"/>
        </w:rPr>
        <w:t>Gambar 2. Kurva Pelatihan Custom CNN Grayscale Average (Loss, Accuracy, Precision, Recall vs Epoch)</w:t>
      </w:r>
    </w:p>
    <w:p>
      <w:pPr>
        <w:keepNext/>
        <w:spacing w:before="280" w:after="80"/>
      </w:pPr>
      <w:r>
        <w:rPr>
          <w:rFonts w:ascii="Times New Roman" w:hAnsi="Times New Roman"/>
          <w:b/>
          <w:color w:val="2E5339"/>
          <w:sz w:val="26"/>
        </w:rPr>
        <w:t>12. Feature Extraction</w:t>
      </w:r>
    </w:p>
    <w:p>
      <w:pPr>
        <w:spacing w:before="0" w:after="100" w:line="276" w:lineRule="auto"/>
        <w:jc w:val="both"/>
      </w:pPr>
      <w:r>
        <w:rPr>
          <w:rFonts w:ascii="Times New Roman" w:hAnsi="Times New Roman"/>
          <w:i w:val="0"/>
          <w:sz w:val="23"/>
        </w:rPr>
        <w:t>Fitur diekstrak dari layer svm_features berdimensi 512 dengan TTA Flip. Dimensi fitur: X_train_features: (50000, 512) dan X_test_features: (10000, 512), tersimpan di cifar10_artifacts/grayscale_avg/train_features.npz.</w:t>
      </w:r>
    </w:p>
    <w:p>
      <w:pPr>
        <w:keepNext/>
        <w:spacing w:before="280" w:after="80"/>
      </w:pPr>
      <w:r>
        <w:rPr>
          <w:rFonts w:ascii="Times New Roman" w:hAnsi="Times New Roman"/>
          <w:b/>
          <w:color w:val="2E5339"/>
          <w:sz w:val="26"/>
        </w:rPr>
        <w:t>13. SVM Classifier</w:t>
      </w:r>
    </w:p>
    <w:p>
      <w:pPr>
        <w:spacing w:before="0" w:after="100" w:line="276" w:lineRule="auto"/>
        <w:jc w:val="both"/>
      </w:pPr>
      <w:r>
        <w:rPr>
          <w:rFonts w:ascii="Times New Roman" w:hAnsi="Times New Roman"/>
          <w:i w:val="0"/>
          <w:sz w:val="23"/>
        </w:rPr>
        <w:t>Pencarian parameter pada independent validation set (nilai dasar gamma scale = 0.007299) menghasilkan konfigurasi optimal C = 3.0 dan gamma = 0.009124 (multiplier 1.25x) dengan akurasi validasi 91.02%. Pelatihan final pada 50.000 sampel menghasilkan akurasi training 98.62%.</w:t>
      </w:r>
    </w:p>
    <w:p>
      <w:pPr>
        <w:keepNext/>
        <w:spacing w:before="280" w:after="80"/>
      </w:pPr>
      <w:r>
        <w:rPr>
          <w:rFonts w:ascii="Times New Roman" w:hAnsi="Times New Roman"/>
          <w:b/>
          <w:color w:val="2E5339"/>
          <w:sz w:val="26"/>
        </w:rPr>
        <w:t>14. Hasil Training / Validation</w:t>
      </w:r>
    </w:p>
    <w:tbl>
      <w:tblPr>
        <w:tblW w:type="auto" w:w="0"/>
        <w:jc w:val="center"/>
        <w:tblLayout w:type="fixed"/>
        <w:tblLook w:firstColumn="1" w:firstRow="1" w:lastColumn="0" w:lastRow="0" w:noHBand="0" w:noVBand="1" w:val="04A0"/>
        <w:tblBorders>
          <w:top w:val="single" w:sz="4" w:space="0" w:color="555555"/>
          <w:bottom w:val="single" w:sz="4" w:space="0" w:color="555555"/>
          <w:left w:val="single" w:sz="4" w:space="0" w:color="555555"/>
          <w:right w:val="single" w:sz="4" w:space="0" w:color="555555"/>
          <w:insideH w:val="single" w:sz="4" w:space="0" w:color="555555"/>
          <w:insideV w:val="single" w:sz="4" w:space="0" w:color="555555"/>
        </w:tblBorders>
      </w:tblPr>
      <w:tblGrid>
        <w:gridCol w:w="2257"/>
        <w:gridCol w:w="2257"/>
        <w:gridCol w:w="2257"/>
        <w:gridCol w:w="2257"/>
      </w:tblGrid>
      <w:tr>
        <w:tc>
          <w:tcPr>
            <w:tcW w:type="dxa" w:w="2880"/>
            <w:shd w:fill="2E5339"/>
            <w:tcMar>
              <w:top w:w="110" w:type="dxa"/>
              <w:bottom w:w="110" w:type="dxa"/>
              <w:left w:w="130" w:type="dxa"/>
              <w:right w:w="130" w:type="dxa"/>
            </w:tcMar>
          </w:tcPr>
          <w:p>
            <w:pPr>
              <w:jc w:val="center"/>
            </w:pPr>
            <w:r>
              <w:rPr>
                <w:rFonts w:ascii="Times New Roman" w:hAnsi="Times New Roman"/>
                <w:b/>
                <w:color w:val="FFFFFF"/>
                <w:sz w:val="20"/>
              </w:rPr>
              <w:t>Model / Tahap</w:t>
            </w:r>
          </w:p>
        </w:tc>
        <w:tc>
          <w:tcPr>
            <w:tcW w:type="dxa" w:w="2880"/>
            <w:shd w:fill="2E5339"/>
            <w:tcMar>
              <w:top w:w="110" w:type="dxa"/>
              <w:bottom w:w="110" w:type="dxa"/>
              <w:left w:w="130" w:type="dxa"/>
              <w:right w:w="130" w:type="dxa"/>
            </w:tcMar>
          </w:tcPr>
          <w:p>
            <w:pPr>
              <w:jc w:val="center"/>
            </w:pPr>
            <w:r>
              <w:rPr>
                <w:rFonts w:ascii="Times New Roman" w:hAnsi="Times New Roman"/>
                <w:b/>
                <w:color w:val="FFFFFF"/>
                <w:sz w:val="20"/>
              </w:rPr>
              <w:t>Konfigurasi Utama</w:t>
            </w:r>
          </w:p>
        </w:tc>
        <w:tc>
          <w:tcPr>
            <w:tcW w:type="dxa" w:w="1584"/>
            <w:shd w:fill="2E5339"/>
            <w:tcMar>
              <w:top w:w="110" w:type="dxa"/>
              <w:bottom w:w="110" w:type="dxa"/>
              <w:left w:w="130" w:type="dxa"/>
              <w:right w:w="130" w:type="dxa"/>
            </w:tcMar>
          </w:tcPr>
          <w:p>
            <w:pPr>
              <w:jc w:val="center"/>
            </w:pPr>
            <w:r>
              <w:rPr>
                <w:rFonts w:ascii="Times New Roman" w:hAnsi="Times New Roman"/>
                <w:b/>
                <w:color w:val="FFFFFF"/>
                <w:sz w:val="20"/>
              </w:rPr>
              <w:t>Akurasi Validasi</w:t>
            </w:r>
          </w:p>
        </w:tc>
        <w:tc>
          <w:tcPr>
            <w:tcW w:type="dxa" w:w="1685"/>
            <w:shd w:fill="2E5339"/>
            <w:tcMar>
              <w:top w:w="110" w:type="dxa"/>
              <w:bottom w:w="110" w:type="dxa"/>
              <w:left w:w="130" w:type="dxa"/>
              <w:right w:w="130" w:type="dxa"/>
            </w:tcMar>
          </w:tcPr>
          <w:p>
            <w:pPr>
              <w:jc w:val="center"/>
            </w:pPr>
            <w:r>
              <w:rPr>
                <w:rFonts w:ascii="Times New Roman" w:hAnsi="Times New Roman"/>
                <w:b/>
                <w:color w:val="FFFFFF"/>
                <w:sz w:val="20"/>
              </w:rPr>
              <w:t>Loss Validasi</w:t>
            </w:r>
          </w:p>
        </w:tc>
      </w:tr>
      <w:tr>
        <w:tc>
          <w:tcPr>
            <w:tcW w:type="dxa" w:w="2880"/>
            <w:shd w:fill="FFFFFF"/>
            <w:tcMar>
              <w:top w:w="80" w:type="dxa"/>
              <w:bottom w:w="80" w:type="dxa"/>
              <w:left w:w="120" w:type="dxa"/>
              <w:right w:w="120" w:type="dxa"/>
            </w:tcMar>
          </w:tcPr>
          <w:p>
            <w:pPr>
              <w:jc w:val="center"/>
            </w:pPr>
            <w:r>
              <w:rPr>
                <w:rFonts w:ascii="Times New Roman" w:hAnsi="Times New Roman"/>
                <w:sz w:val="19"/>
              </w:rPr>
              <w:t>Custom CNN AVG</w:t>
            </w:r>
          </w:p>
        </w:tc>
        <w:tc>
          <w:tcPr>
            <w:tcW w:type="dxa" w:w="2880"/>
            <w:shd w:fill="FFFFFF"/>
            <w:tcMar>
              <w:top w:w="80" w:type="dxa"/>
              <w:bottom w:w="80" w:type="dxa"/>
              <w:left w:w="120" w:type="dxa"/>
              <w:right w:w="120" w:type="dxa"/>
            </w:tcMar>
          </w:tcPr>
          <w:p>
            <w:pPr>
              <w:jc w:val="left"/>
            </w:pPr>
            <w:r>
              <w:rPr>
                <w:rFonts w:ascii="Times New Roman" w:hAnsi="Times New Roman"/>
                <w:sz w:val="19"/>
              </w:rPr>
              <w:t>Best Checkpoint Weights</w:t>
            </w:r>
          </w:p>
        </w:tc>
        <w:tc>
          <w:tcPr>
            <w:tcW w:type="dxa" w:w="1584"/>
            <w:shd w:fill="FFFFFF"/>
            <w:tcMar>
              <w:top w:w="80" w:type="dxa"/>
              <w:bottom w:w="80" w:type="dxa"/>
              <w:left w:w="120" w:type="dxa"/>
              <w:right w:w="120" w:type="dxa"/>
            </w:tcMar>
          </w:tcPr>
          <w:p>
            <w:pPr>
              <w:jc w:val="center"/>
            </w:pPr>
            <w:r>
              <w:rPr>
                <w:rFonts w:ascii="Times New Roman" w:hAnsi="Times New Roman"/>
                <w:sz w:val="19"/>
              </w:rPr>
              <w:t>91.00%</w:t>
            </w:r>
          </w:p>
        </w:tc>
        <w:tc>
          <w:tcPr>
            <w:tcW w:type="dxa" w:w="1685"/>
            <w:shd w:fill="FFFFFF"/>
            <w:tcMar>
              <w:top w:w="80" w:type="dxa"/>
              <w:bottom w:w="80" w:type="dxa"/>
              <w:left w:w="120" w:type="dxa"/>
              <w:right w:w="120" w:type="dxa"/>
            </w:tcMar>
          </w:tcPr>
          <w:p>
            <w:pPr>
              <w:jc w:val="center"/>
            </w:pPr>
            <w:r>
              <w:rPr>
                <w:rFonts w:ascii="Times New Roman" w:hAnsi="Times New Roman"/>
                <w:sz w:val="19"/>
              </w:rPr>
              <w:t>0.8011</w:t>
            </w:r>
          </w:p>
        </w:tc>
      </w:tr>
      <w:tr>
        <w:tc>
          <w:tcPr>
            <w:tcW w:type="dxa" w:w="2880"/>
            <w:shd w:fill="F4F7F5"/>
            <w:tcMar>
              <w:top w:w="80" w:type="dxa"/>
              <w:bottom w:w="80" w:type="dxa"/>
              <w:left w:w="120" w:type="dxa"/>
              <w:right w:w="120" w:type="dxa"/>
            </w:tcMar>
          </w:tcPr>
          <w:p>
            <w:pPr>
              <w:jc w:val="left"/>
            </w:pPr>
            <w:r>
              <w:rPr>
                <w:rFonts w:ascii="Times New Roman" w:hAnsi="Times New Roman"/>
                <w:sz w:val="19"/>
              </w:rPr>
              <w:t>SVM RBF (512-D)</w:t>
            </w:r>
          </w:p>
        </w:tc>
        <w:tc>
          <w:tcPr>
            <w:tcW w:type="dxa" w:w="2880"/>
            <w:shd w:fill="F4F7F5"/>
            <w:tcMar>
              <w:top w:w="80" w:type="dxa"/>
              <w:bottom w:w="80" w:type="dxa"/>
              <w:left w:w="120" w:type="dxa"/>
              <w:right w:w="120" w:type="dxa"/>
            </w:tcMar>
          </w:tcPr>
          <w:p>
            <w:pPr>
              <w:jc w:val="left"/>
            </w:pPr>
            <w:r>
              <w:rPr>
                <w:rFonts w:ascii="Times New Roman" w:hAnsi="Times New Roman"/>
                <w:sz w:val="19"/>
              </w:rPr>
              <w:t>C=3.0, gamma=0.009124</w:t>
            </w:r>
          </w:p>
        </w:tc>
        <w:tc>
          <w:tcPr>
            <w:tcW w:type="dxa" w:w="1584"/>
            <w:shd w:fill="F4F7F5"/>
            <w:tcMar>
              <w:top w:w="80" w:type="dxa"/>
              <w:bottom w:w="80" w:type="dxa"/>
              <w:left w:w="120" w:type="dxa"/>
              <w:right w:w="120" w:type="dxa"/>
            </w:tcMar>
          </w:tcPr>
          <w:p>
            <w:pPr>
              <w:jc w:val="center"/>
            </w:pPr>
            <w:r>
              <w:rPr>
                <w:rFonts w:ascii="Times New Roman" w:hAnsi="Times New Roman"/>
                <w:sz w:val="19"/>
              </w:rPr>
              <w:t>91.02%</w:t>
            </w:r>
          </w:p>
        </w:tc>
        <w:tc>
          <w:tcPr>
            <w:tcW w:type="dxa" w:w="1685"/>
            <w:shd w:fill="F4F7F5"/>
            <w:tcMar>
              <w:top w:w="80" w:type="dxa"/>
              <w:bottom w:w="80" w:type="dxa"/>
              <w:left w:w="120" w:type="dxa"/>
              <w:right w:w="120" w:type="dxa"/>
            </w:tcMar>
          </w:tcPr>
          <w:p>
            <w:pPr>
              <w:jc w:val="center"/>
            </w:pPr>
            <w:r>
              <w:rPr>
                <w:rFonts w:ascii="Times New Roman" w:hAnsi="Times New Roman"/>
                <w:sz w:val="19"/>
              </w:rPr>
              <w:t>—</w:t>
            </w:r>
          </w:p>
        </w:tc>
      </w:tr>
    </w:tbl>
    <w:p>
      <w:pPr>
        <w:spacing w:before="0" w:after="120"/>
      </w:pPr>
    </w:p>
    <w:p>
      <w:pPr>
        <w:keepNext/>
        <w:spacing w:before="280" w:after="80"/>
      </w:pPr>
      <w:r>
        <w:rPr>
          <w:rFonts w:ascii="Times New Roman" w:hAnsi="Times New Roman"/>
          <w:b/>
          <w:color w:val="2E5339"/>
          <w:sz w:val="26"/>
        </w:rPr>
        <w:t>15. Analisis</w:t>
      </w:r>
    </w:p>
    <w:p>
      <w:pPr>
        <w:spacing w:before="0" w:after="100" w:line="276" w:lineRule="auto"/>
        <w:jc w:val="both"/>
      </w:pPr>
      <w:r>
        <w:rPr>
          <w:rFonts w:ascii="Times New Roman" w:hAnsi="Times New Roman"/>
          <w:i w:val="0"/>
          <w:sz w:val="23"/>
        </w:rPr>
        <w:t>Meskipun informasi warna hilang, model berhasil meraih akurasi validasi 91.00%, membuktikan bahwa representasi bentuk dan tekstur sangat dominan pada data CIFAR-10. SVM RBF mampu mempertahankan akurasi validasi pada 91.02% dan training 98.62%.</w:t>
      </w:r>
    </w:p>
    <w:p>
      <w:pPr>
        <w:keepNext/>
        <w:spacing w:before="280" w:after="80"/>
      </w:pPr>
      <w:r>
        <w:rPr>
          <w:rFonts w:ascii="Times New Roman" w:hAnsi="Times New Roman"/>
          <w:b/>
          <w:color w:val="2E5339"/>
          <w:sz w:val="26"/>
        </w:rPr>
        <w:t>16. Kesimpulan</w:t>
      </w:r>
    </w:p>
    <w:p>
      <w:pPr>
        <w:spacing w:before="0" w:after="100" w:line="276" w:lineRule="auto"/>
        <w:jc w:val="both"/>
      </w:pPr>
      <w:r>
        <w:rPr>
          <w:rFonts w:ascii="Times New Roman" w:hAnsi="Times New Roman"/>
          <w:i w:val="0"/>
          <w:sz w:val="23"/>
        </w:rPr>
        <w:t>Pelatihan Alur 2 membuktikan kelayakan Custom CNN 1-kanal dalam mengekstrak fitur monokromatik. Seluruh model berhasil disimpan ke cifar10_artifacts/grayscale_avg/custom_cnn_cifar10_final.keras.</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9"/>
      </w:rPr>
      <w:t xml:space="preserve">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