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GRAYSCALE AVERAGE TESTING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Grayscale Average (R+G+B)/3</w:t>
        <w:br/>
        <w:t>(4_GrayAvg_test.ipynb)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VERIFIKASI ANTI-DATA LEAKAGE: </w:t>
            </w:r>
            <w:r>
              <w:rPr>
                <w:rFonts w:ascii="Times New Roman" w:hAnsi="Times New Roman"/>
                <w:sz w:val="21"/>
              </w:rPr>
              <w:t>Evaluasi dilakukan pada 10.000 citra test set Grayscale Average murni. Vektor fitur testing distandarisasi hanya menggunakan parameter mean dan variansi yang dipelajari dari data training guna memastikan validitas anti-leakage.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Evaluasi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Evaluasi CNN: </w:t>
      </w:r>
      <w:r>
        <w:rPr>
          <w:rFonts w:ascii="Times New Roman" w:hAnsi="Times New Roman"/>
          <w:sz w:val="23"/>
        </w:rPr>
        <w:t>Menguji performa Custom CNN monokromatik pada 10.000 sampel testing Grayscale Average.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Evaluasi SVM: </w:t>
      </w:r>
      <w:r>
        <w:rPr>
          <w:rFonts w:ascii="Times New Roman" w:hAnsi="Times New Roman"/>
          <w:sz w:val="23"/>
        </w:rPr>
        <w:t>Menguji akurasi klasifikasi SVM pada vektor fitur 512-D tanpa informasi warna.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Evaluasi Metrik: </w:t>
      </w:r>
      <w:r>
        <w:rPr>
          <w:rFonts w:ascii="Times New Roman" w:hAnsi="Times New Roman"/>
          <w:sz w:val="23"/>
        </w:rPr>
        <w:t>Menyusun Classification Report dan Confusion Matrix per kelas.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Komparasi Head-to-Head: </w:t>
      </w:r>
      <w:r>
        <w:rPr>
          <w:rFonts w:ascii="Times New Roman" w:hAnsi="Times New Roman"/>
          <w:sz w:val="23"/>
        </w:rPr>
        <w:t>Membandingkan performa CNN vs SVM pada representasi Grayscale Average.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Prinsip Evaluasi &amp; Anti-Data Leakage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Evaluasi murni pada test set beku (frozen weights) tanpa tuning atau manipulasi prediksi.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Berikut rincian spesifikasi lingkungan komputasi, perangkat keras, dan konfigurasi sistem yang digunakan pada pengujian ini: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4"/>
        <w:gridCol w:w="4514"/>
      </w:tblGrid>
      <w:tr>
        <w:tc>
          <w:tcPr>
            <w:tcW w:type="dxa" w:w="259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6437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Keterangan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Sumber Kode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4_GrayAvg_test.ipynb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Environment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Jupyter Notebook (lokal), kernel Python (CNNgpu), TensorFlow 2.10.1, GPU terdeteksi (GPU available: True)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Intel Core i7-13620H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Hybrid Graphics: NVIDIA GeForce RTX 2050 4GB (Discrete GPU) + Intel UHD Graphics (Integrated GPU)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RAM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16 GB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Framework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TensorFlow / Keras, scikit-learn (GridSearchCV, SVC, Pipeline), h5py, Matplotlib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Dataset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CIFAR-10 data testing (10.000 citra Grayscale Average (R+G+B)/3 32x32x1, 1.000 citra per kelas)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Reproducibility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RANDOM_STATE = 23092026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Model yang Diuji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custom_cnn_cifar10_final.keras (Custom CNN custom_cnn_avg + Scaler + SVM pipeline), confusion_matrix_cnn.png, confusion_matrix_svm.png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10.000 citra test bersaluran tunggal (32, 32, 1), 1.000 citra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Visualisasi Data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Distribusi kelas seimbang sempurna (1.000 citra per kelas).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Pre-processing Data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Normalisasi piksel X / 255.0.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Memuat Model dan Pipeline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CNN dan SVM dimuat dari direktori cifar10_artifacts/grayscale_avg/.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Ekstraksi Fitur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512-D diekstrak menggunakan layer svm_features.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Evaluasi Model Custom CNN Murni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Pengujian CNN menghasilkan Test Loss = 0.8140 dan Test Accuracy = 90.48% (Macro F1 = 90.41%):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0.9090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0.9163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0.9690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0.9580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0.8183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0.7970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0.8075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0.8521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0.8526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0.8974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0.9206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0.9492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0.9511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0.9397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0.9042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0.9041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5_im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Confusion Matrix Custom CNN pada Test Set Grayscale Average (Akurasi 90.48%)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Evaluasi SVM Classifier (512-D)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Inferensi SVM menghasilkan Test Accuracy = 91.78% (Macro F1 = 91.77%):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0.9238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0.9289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0.9576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0.9643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0.8925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0.8862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0.8285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0.8170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0.8227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0.9037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0.9068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0.8679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0.8674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0.9273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0.9356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0.9610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0.9500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0.9524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0.9568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0.9178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0.9177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GrayAvg_test_c11_im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2. Confusion Matrix SVM Classifier pada Test Set Grayscale Average (Akurasi 91.78%)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Perbandingan Komparatif CNN vs SVM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AVG</w:t>
            </w:r>
          </w:p>
        </w:tc>
        <w:tc>
          <w:tcPr>
            <w:tcW w:type="dxa" w:w="201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AVG</w:t>
            </w:r>
          </w:p>
        </w:tc>
        <w:tc>
          <w:tcPr>
            <w:tcW w:type="dxa" w:w="211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+1.30%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90.42%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+1.35%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90.48%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91.78%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+1.30%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90.41%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91.77%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+1.36%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F1-Score Kelas 'cat'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80.75%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82.27%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F1-Score Kelas 'dog'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85.26%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86.74%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+1.48%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Analisis Kesalahan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Ketiadaan warna menyebabkan peningkatan ambiguitas pada pasangan kucing dan anjing (cat vs dog), namun SVM berhasil mendongkrak F1-score kucing sebesar +1.52%.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13.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SVM secara konsisten mengungguli CNN dengan selisih +1.30% pada domain Grayscale Average (91.78% vs 90.48%).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