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/>
          <w:b/>
          <w:color w:val="2E5339"/>
          <w:sz w:val="28"/>
        </w:rPr>
        <w:t>LAPORAN PERTEMUAN</w:t>
        <w:br/>
        <w:t>EKSTRAKSI FITUR PADA DATASET CIFAR-10 MENGGUNAKAN CUSTOM CNN DAN SVM CLASSIFIER - FEATURE FUSION TRAINING</w:t>
      </w:r>
    </w:p>
    <w:p>
      <w:pPr>
        <w:spacing w:before="80" w:after="280"/>
        <w:jc w:val="center"/>
      </w:pPr>
      <w:r>
        <w:rPr>
          <w:rFonts w:ascii="Times New Roman" w:hAnsi="Times New Roman"/>
          <w:b/>
          <w:sz w:val="24"/>
        </w:rPr>
        <w:t>Feature Engineering: Multi-Domain Concatenative Fusion (RGB + AVG + NTSC, 1.536-D), Preprocessing &amp; SVM</w:t>
        <w:br/>
        <w:t>(7_Fusion_train.ipynb)</w:t>
      </w:r>
    </w:p>
    <w:p>
      <w:pPr>
        <w:spacing w:before="160" w:after="440"/>
        <w:jc w:val="center"/>
      </w:pPr>
      <w:r>
        <w:rPr>
          <w:rFonts w:ascii="Times New Roman" w:hAnsi="Times New Roman"/>
          <w:sz w:val="24"/>
        </w:rPr>
        <w:t>Mata Kuliah: Big Data Analytic</w:t>
        <w:br/>
        <w:t>Dosen Pengampu: Bayu Adi Nugroho, Ph.D</w:t>
      </w:r>
    </w:p>
    <w:p>
      <w:pPr>
        <w:spacing w:before="200" w:after="520"/>
        <w:jc w:val="center"/>
      </w:pPr>
      <w:r>
        <w:drawing>
          <wp:inline xmlns:a="http://schemas.openxmlformats.org/drawingml/2006/main" xmlns:pic="http://schemas.openxmlformats.org/drawingml/2006/picture">
            <wp:extent cx="2011680" cy="15630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n_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563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jc w:val="center"/>
      </w:pPr>
      <w:r>
        <w:rPr>
          <w:rFonts w:ascii="Times New Roman" w:hAnsi="Times New Roman"/>
          <w:b/>
          <w:sz w:val="24"/>
        </w:rPr>
        <w:t>Disusun Oleh:</w:t>
      </w:r>
    </w:p>
    <w:p>
      <w:pPr>
        <w:spacing w:before="0" w:after="600"/>
        <w:jc w:val="center"/>
      </w:pPr>
      <w:r>
        <w:rPr>
          <w:rFonts w:ascii="Times New Roman" w:hAnsi="Times New Roman"/>
          <w:b/>
          <w:sz w:val="24"/>
        </w:rPr>
        <w:t>Daffa Danendra Fairuzza – 09020624026</w:t>
      </w:r>
    </w:p>
    <w:p>
      <w:pPr>
        <w:spacing w:before="360" w:after="0"/>
        <w:jc w:val="center"/>
      </w:pPr>
      <w:r>
        <w:rPr>
          <w:rFonts w:ascii="Times New Roman" w:hAnsi="Times New Roman"/>
          <w:b/>
          <w:sz w:val="24"/>
        </w:rPr>
        <w:t>PROGRAM STUDI SISTEM INFORMASI</w:t>
        <w:br/>
        <w:t>FAKULTAS SAINS DAN TEKNOLOGI</w:t>
        <w:br/>
        <w:t>UNIVERSITAS ISLAM NEGERI SUNAN AMPEL SURABAYA</w:t>
        <w:br/>
        <w:t>2026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EBF2E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left w:val="single" w:sz="24" w:space="0" w:color="2E5339"/>
              <w:top w:val="none"/>
              <w:bottom w:val="none"/>
              <w:right w:val="none"/>
            </w:tcBorders>
          </w:tcPr>
          <w:p>
            <w:pPr>
              <w:spacing w:before="0" w:after="0" w:line="276" w:lineRule="auto"/>
              <w:jc w:val="both"/>
            </w:pPr>
            <w:r>
              <w:rPr>
                <w:rFonts w:ascii="Times New Roman" w:hAnsi="Times New Roman"/>
                <w:b/>
                <w:color w:val="2E5339"/>
                <w:sz w:val="21"/>
              </w:rPr>
              <w:t xml:space="preserve">💡 FEATURE ENGINEERING MULTIDOMAIN DARI 3 CUSTOM CNN MURNI: </w:t>
            </w:r>
            <w:r>
              <w:rPr>
                <w:rFonts w:ascii="Times New Roman" w:hAnsi="Times New Roman"/>
                <w:sz w:val="21"/>
              </w:rPr>
              <w:t>Tahap Feature Engineering ini tidak memerlukan pelatihan CNN baru, melainkan melakukan sinergi representasi fitur tingkat tinggi dari 3 Custom CNN murni yang telah dilatih sebelumnya (Alur 1, 2, dan 3). Seluruh 1.536 dimensi fitur berasal dari model yang dibangun from scratch tanpa bantuan pretrained backbone ImageNet.</w:t>
            </w:r>
          </w:p>
        </w:tc>
      </w:tr>
    </w:tbl>
    <w:p>
      <w:pPr>
        <w:spacing w:before="0" w:after="80"/>
      </w:pP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1. Tujuan Praktikum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3"/>
        </w:rPr>
        <w:t xml:space="preserve">1. Fusi Fitur Multidomain: </w:t>
      </w:r>
      <w:r>
        <w:rPr>
          <w:rFonts w:ascii="Times New Roman" w:hAnsi="Times New Roman"/>
          <w:sz w:val="23"/>
        </w:rPr>
        <w:t>Menggabungkan tiga representasi fitur (RGB 512-D, AVG 512-D, NTSC 512-D) menjadi ruang gabungan 1.536 dimensi.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3"/>
        </w:rPr>
        <w:t xml:space="preserve">2. Optimasi Preprocessing: </w:t>
      </w:r>
      <w:r>
        <w:rPr>
          <w:rFonts w:ascii="Times New Roman" w:hAnsi="Times New Roman"/>
          <w:sz w:val="23"/>
        </w:rPr>
        <w:t>Mengevaluasi 7 konfigurasi skema preprocessing dan feature weighting untuk memisahkan ruang fitur secara optimal.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3"/>
        </w:rPr>
        <w:t xml:space="preserve">3. Normalisasi L2: </w:t>
      </w:r>
      <w:r>
        <w:rPr>
          <w:rFonts w:ascii="Times New Roman" w:hAnsi="Times New Roman"/>
          <w:sz w:val="23"/>
        </w:rPr>
        <w:t>Menerapkan proyeksi L2-Hyperspherical Normalization guna mengubah metrik Euclidean menjadi sudut cosinus.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3"/>
        </w:rPr>
        <w:t xml:space="preserve">4. Pelatihan &amp; Serialisasi: </w:t>
      </w:r>
      <w:r>
        <w:rPr>
          <w:rFonts w:ascii="Times New Roman" w:hAnsi="Times New Roman"/>
          <w:sz w:val="23"/>
        </w:rPr>
        <w:t>Melatih model final Consensus SVM pada 50.000 sampel data gabungan dan mengekspor seluruh artefak ke disk.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2. Landasan Teori Singkat Feature Engineering Multidomain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Sinergi antar-domain visual mengatasi keterbatasan masing-masing representasi tunggal: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3"/>
        </w:rPr>
        <w:t xml:space="preserve">1. Fitur RGB (512-D): </w:t>
      </w:r>
      <w:r>
        <w:rPr>
          <w:rFonts w:ascii="Times New Roman" w:hAnsi="Times New Roman"/>
          <w:sz w:val="23"/>
        </w:rPr>
        <w:t>Menyimpan pola kromatisitas fotometri 3 saluran warna, namun rentan bias pencahayaan ekstrem.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3"/>
        </w:rPr>
        <w:t xml:space="preserve">2. Fitur Grayscale AVG (512-D): </w:t>
      </w:r>
      <w:r>
        <w:rPr>
          <w:rFonts w:ascii="Times New Roman" w:hAnsi="Times New Roman"/>
          <w:sz w:val="23"/>
        </w:rPr>
        <w:t>Memberikan intensitas isotropik yang invarian terhadap warna, menonjolkan geometri siluet objek.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3"/>
        </w:rPr>
        <w:t xml:space="preserve">3. Fitur Grayscale NTSC (512-D): </w:t>
      </w:r>
      <w:r>
        <w:rPr>
          <w:rFonts w:ascii="Times New Roman" w:hAnsi="Times New Roman"/>
          <w:sz w:val="23"/>
        </w:rPr>
        <w:t>Mempertahankan sensitivitas persepsi fotoreseptor mata manusia, mempertegas kontras tekstur halus.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Melalui Concatenative Feature Fusion, ketiga representasi disatukan: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b/>
          <w:sz w:val="23"/>
        </w:rPr>
        <w:t xml:space="preserve">Formula Fusi Vektor: </w:t>
      </w:r>
      <w:r>
        <w:rPr>
          <w:rFonts w:ascii="Times New Roman" w:hAnsi="Times New Roman"/>
          <w:i/>
          <w:sz w:val="23"/>
        </w:rPr>
        <w:t>X_fused = [ X_RGB(512)  ||  X_AVG(512)  ||  X_NTSC(512) ]  dalam R^(1536)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Ketika fitur RGB mengalami ambiguitas (misal kucing dan anjing berwarna cokelat serupa), fitur tekstur NTSC dan AVG memberikan sinyal diskriminatif pembeda.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3. Environment dan Konfigurasi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5D0C8"/>
          <w:bottom w:val="single" w:sz="4" w:space="0" w:color="C5D0C8"/>
          <w:insideH w:val="single" w:sz="4" w:space="0" w:color="C5D0C8"/>
          <w:insideV w:val="none"/>
          <w:left w:val="none"/>
          <w:right w:val="none"/>
        </w:tblBorders>
      </w:tblPr>
      <w:tblGrid>
        <w:gridCol w:w="4514"/>
        <w:gridCol w:w="4514"/>
      </w:tblGrid>
      <w:tr>
        <w:tc>
          <w:tcPr>
            <w:tcW w:type="dxa" w:w="3456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Parameter / Komponen</w:t>
            </w:r>
          </w:p>
        </w:tc>
        <w:tc>
          <w:tcPr>
            <w:tcW w:type="dxa" w:w="5573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Keterangan Spesifikasi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Nama Notebook</w:t>
            </w:r>
          </w:p>
        </w:tc>
        <w:tc>
          <w:tcPr>
            <w:tcW w:type="dxa" w:w="5573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7_Fusion_train.ipynb</w:t>
            </w:r>
          </w:p>
        </w:tc>
      </w:tr>
      <w:tr>
        <w:tc>
          <w:tcPr>
            <w:tcW w:type="dxa" w:w="34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Metode Feature Engineering</w:t>
            </w:r>
          </w:p>
        </w:tc>
        <w:tc>
          <w:tcPr>
            <w:tcW w:type="dxa" w:w="5573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Multi-Domain Concatenative Fusion (RGB + AVG + NTSC)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Dimensi Fitur Gabungan</w:t>
            </w:r>
          </w:p>
        </w:tc>
        <w:tc>
          <w:tcPr>
            <w:tcW w:type="dxa" w:w="5573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1.536 Dimensi (512 + 512 + 512)</w:t>
            </w:r>
          </w:p>
        </w:tc>
      </w:tr>
      <w:tr>
        <w:tc>
          <w:tcPr>
            <w:tcW w:type="dxa" w:w="34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Jumlah Sampel Fitur</w:t>
            </w:r>
          </w:p>
        </w:tc>
        <w:tc>
          <w:tcPr>
            <w:tcW w:type="dxa" w:w="5573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50.000 Sampel Training &amp; 10.000 Sampel Testing (format .npz)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Partisi Training SVM</w:t>
            </w:r>
          </w:p>
        </w:tc>
        <w:tc>
          <w:tcPr>
            <w:tcW w:type="dxa" w:w="5573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40.000 Sub-Train, 5.000 Validation, 5.000 Independent Validation (unseen oleh CNN)</w:t>
            </w:r>
          </w:p>
        </w:tc>
      </w:tr>
      <w:tr>
        <w:tc>
          <w:tcPr>
            <w:tcW w:type="dxa" w:w="34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Model Preprocessing</w:t>
            </w:r>
          </w:p>
        </w:tc>
        <w:tc>
          <w:tcPr>
            <w:tcW w:type="dxa" w:w="5573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Mode D+L2: Per-Domain StandardScaler + Bobot (1.0, 0.7, 0.7) + L2 Normalizer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Model Classifier</w:t>
            </w:r>
          </w:p>
        </w:tc>
        <w:tc>
          <w:tcPr>
            <w:tcW w:type="dxa" w:w="5573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Fused Consensus SVM Classifier (RBF Kernel + Cosine Linear)</w:t>
            </w:r>
          </w:p>
        </w:tc>
      </w:tr>
      <w:tr>
        <w:tc>
          <w:tcPr>
            <w:tcW w:type="dxa" w:w="34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Hardware Komputasi</w:t>
            </w:r>
          </w:p>
        </w:tc>
        <w:tc>
          <w:tcPr>
            <w:tcW w:type="dxa" w:w="5573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Multi-Core CPU Parallel Accelerated (joblib &amp; Scikit-Learn)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4. Dataset &amp; Representasi Fitur Masukan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Vektor fitur dimuat dari direktori cifar10_artifacts/rgb/, grayscale_avg/, dan grayscale_ntsc/. Ketiga representasi telah diekstrak dari layer svm_features pada tahap sebelumnya.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5. Feature Alignment &amp; Concatenative Fusion (1.536 Dimensi)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Vektor fitur dari ketiga alur digabungkan secara horizontal (concatenation) menghasilkan dimensi: X_train_fused: (50000, 1536) dan X_test_fused: (10000, 1536). File tersimpan ke cifar10_artifacts/rgb_avg_ntsc/train_features.npz dan test_features.npz.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6. Pembagian Dataset untuk SVM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3"/>
        </w:rPr>
        <w:t xml:space="preserve">1. SVM Sub-Train: </w:t>
      </w:r>
      <w:r>
        <w:rPr>
          <w:rFonts w:ascii="Times New Roman" w:hAnsi="Times New Roman"/>
          <w:sz w:val="23"/>
        </w:rPr>
        <w:t>40.000 sampel untuk sub-train SVM.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3"/>
        </w:rPr>
        <w:t xml:space="preserve">2. SVM Validation: </w:t>
      </w:r>
      <w:r>
        <w:rPr>
          <w:rFonts w:ascii="Times New Roman" w:hAnsi="Times New Roman"/>
          <w:sz w:val="23"/>
        </w:rPr>
        <w:t>5.000 sampel untuk validasi penalaan.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3"/>
        </w:rPr>
        <w:t xml:space="preserve">3. Independent SVM Validation: </w:t>
      </w:r>
      <w:r>
        <w:rPr>
          <w:rFonts w:ascii="Times New Roman" w:hAnsi="Times New Roman"/>
          <w:sz w:val="23"/>
        </w:rPr>
        <w:t>5.000 sampel independent validation (unseen oleh CNN) untuk seleksi konfigurasi.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7. Diagram Arsitektur Feature Engineering Multidomain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120640" cy="25344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_Fusion_train_ar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34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i/>
          <w:color w:val="3C3C3C"/>
          <w:sz w:val="19"/>
        </w:rPr>
        <w:t>Gambar 1. Diagram Alir Arsitektur Feature Engineering: Multi-Domain Concatenative Fusion (1.536-D) dan Fused Consensus SVM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8. Preprocessing &amp; Feature Weighting Selection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Sebanyak 7 konfigurasi preprocessing dievaluasi pada 10.000 subset representatif validasi: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5D0C8"/>
          <w:bottom w:val="single" w:sz="4" w:space="0" w:color="C5D0C8"/>
          <w:insideH w:val="single" w:sz="4" w:space="0" w:color="C5D0C8"/>
          <w:insideV w:val="none"/>
          <w:left w:val="none"/>
          <w:right w:val="none"/>
        </w:tblBorders>
      </w:tblPr>
      <w:tblGrid>
        <w:gridCol w:w="3010"/>
        <w:gridCol w:w="3010"/>
        <w:gridCol w:w="3010"/>
      </w:tblGrid>
      <w:tr>
        <w:tc>
          <w:tcPr>
            <w:tcW w:type="dxa" w:w="2304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Mode Preprocessing</w:t>
            </w:r>
          </w:p>
        </w:tc>
        <w:tc>
          <w:tcPr>
            <w:tcW w:type="dxa" w:w="4608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Deskripsi Skema Normalisasi &amp; Pembobotan</w:t>
            </w:r>
          </w:p>
        </w:tc>
        <w:tc>
          <w:tcPr>
            <w:tcW w:type="dxa" w:w="2117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Validation Accuracy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Mode A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Global StandardScaler konvensional</w:t>
            </w:r>
          </w:p>
        </w:tc>
        <w:tc>
          <w:tcPr>
            <w:tcW w:type="dxa" w:w="211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94.00%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Mode B</w:t>
            </w:r>
          </w:p>
        </w:tc>
        <w:tc>
          <w:tcPr>
            <w:tcW w:type="dxa" w:w="4608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Global StandardScaler + L2 Normalization</w:t>
            </w:r>
          </w:p>
        </w:tc>
        <w:tc>
          <w:tcPr>
            <w:tcW w:type="dxa" w:w="211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93.94%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Mode C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Per-Domain StandardScaler mandiri pada masing-masing blok 512-D</w:t>
            </w:r>
          </w:p>
        </w:tc>
        <w:tc>
          <w:tcPr>
            <w:tcW w:type="dxa" w:w="211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94.00%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Mode D</w:t>
            </w:r>
          </w:p>
        </w:tc>
        <w:tc>
          <w:tcPr>
            <w:tcW w:type="dxa" w:w="4608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Per-Domain StandardScaler + Bobot Domain (RGB=1.0, AVG=0.7, NTSC=0.7)</w:t>
            </w:r>
          </w:p>
        </w:tc>
        <w:tc>
          <w:tcPr>
            <w:tcW w:type="dxa" w:w="211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94.30%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Mode D+L2 (Terpilih)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Per-Domain StandardScaler + Bobot Domain + L2 Normalization</w:t>
            </w:r>
          </w:p>
        </w:tc>
        <w:tc>
          <w:tcPr>
            <w:tcW w:type="dxa" w:w="211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94.50% (Tertinggi)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Mode E</w:t>
            </w:r>
          </w:p>
        </w:tc>
        <w:tc>
          <w:tcPr>
            <w:tcW w:type="dxa" w:w="4608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Global StandardScaler + Bobot Domain (1.0, 0.7, 0.7)</w:t>
            </w:r>
          </w:p>
        </w:tc>
        <w:tc>
          <w:tcPr>
            <w:tcW w:type="dxa" w:w="211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94.30%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Mode E+L2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Global StandardScaler + Bobot Domain + L2 Normalization</w:t>
            </w:r>
          </w:p>
        </w:tc>
        <w:tc>
          <w:tcPr>
            <w:tcW w:type="dxa" w:w="211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94.50%</w:t>
            </w:r>
          </w:p>
        </w:tc>
      </w:tr>
    </w:tbl>
    <w:p>
      <w:pPr>
        <w:spacing w:before="0" w:after="120"/>
      </w:pP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Mode D+L2 terpilih sebagai konfigurasi optimal dengan akurasi validasi 94.50%. Normalisasi L2 memproyeksikan fitur ke permukaan bola satuan (hypersphere) sehingga metrik jarak kernel RBF bertransformasi menjadi sudut cosinus.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9. Pelatihan Fused Consensus SVM Classifier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Model Fused Consensus SVM dilatih pada seluruh 50.000 sampel fitur gabungan 1.536 dimensi yang telah dipreprocessing dengan Mode D+L2. Akurasi model pada data training mencapai 99.38%.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10. Penyimpanan Artefak Model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3"/>
        </w:rPr>
        <w:t xml:space="preserve">Artefak 1: </w:t>
      </w:r>
      <w:r>
        <w:rPr>
          <w:rFonts w:ascii="Times New Roman" w:hAnsi="Times New Roman"/>
          <w:sz w:val="23"/>
        </w:rPr>
        <w:t>scaler.pkl (objek FusedDomainPreprocessor lengkap)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3"/>
        </w:rPr>
        <w:t xml:space="preserve">Artefak 2: </w:t>
      </w:r>
      <w:r>
        <w:rPr>
          <w:rFonts w:ascii="Times New Roman" w:hAnsi="Times New Roman"/>
          <w:sz w:val="23"/>
        </w:rPr>
        <w:t>svm_model.pkl (objek Consensus SVM Classifier terlatih)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3"/>
        </w:rPr>
        <w:t xml:space="preserve">Artefak 3: </w:t>
      </w:r>
      <w:r>
        <w:rPr>
          <w:rFonts w:ascii="Times New Roman" w:hAnsi="Times New Roman"/>
          <w:sz w:val="23"/>
        </w:rPr>
        <w:t>metadata.json (konfigurasi hyperparameter dan riwayat seleksi)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3"/>
        </w:rPr>
        <w:t xml:space="preserve">Artefak 4: </w:t>
      </w:r>
      <w:r>
        <w:rPr>
          <w:rFonts w:ascii="Times New Roman" w:hAnsi="Times New Roman"/>
          <w:sz w:val="23"/>
        </w:rPr>
        <w:t>train_features.npz dan test_features.npz (vektor fitur gabungan 1.536-D)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11. Analisis Sinergi Fitur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Penggabungan fitur menghasilkan peningkatan akurasi validasi menjadi 94.50% (melampaui performa model individu terbaik Alur 1 yang berada di angka 93.76%). Hal ini membuktikan adanya efek komplementer antar-domain visual.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12. Kesimpulan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Feature Engineering Multi-Domain Fusion 1.536-D sukses memadukan keunggulan ketiga representasi. Model siap diuji pada data test untuk memvalidasi pencapaian target akurasi akhir.</w:t>
      </w:r>
    </w:p>
    <w:sectPr w:rsidR="00FC693F" w:rsidRPr="0006063C" w:rsidSect="00034616">
      <w:footerReference w:type="default" r:id="rId9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color w:val="646464"/>
        <w:sz w:val="19"/>
      </w:rPr>
      <w:t xml:space="preserve">Halaman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1E1E1E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