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EKSTRAKSI FITUR PADA DATASET CIFAR-10 MENGGUNAKAN CUSTOM CNN DAN SVM CLASSIFIER - FEATURE FUSION TESTING</w:t>
      </w:r>
    </w:p>
    <w:p>
      <w:pPr>
        <w:spacing w:before="80" w:after="280"/>
        <w:jc w:val="center"/>
      </w:pPr>
      <w:r>
        <w:rPr>
          <w:rFonts w:ascii="Times New Roman" w:hAnsi="Times New Roman"/>
          <w:b/>
          <w:sz w:val="24"/>
        </w:rPr>
        <w:t>Pengujian Akhir SVM Fitur Gabungan Multi-Domain (1.536-D) &amp; Master Accuracy Comparison (&gt;95%)</w:t>
        <w:br/>
        <w:t>(8_Fusion_test.ipynb)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PENCAPAIAN TARGET AKADEMIK (AKURASI 95.14% &gt;= 95.00%): </w:t>
            </w:r>
            <w:r>
              <w:rPr>
                <w:rFonts w:ascii="Times New Roman" w:hAnsi="Times New Roman"/>
                <w:sz w:val="21"/>
              </w:rPr>
              <w:t>Pencapaian Akurasi Testing Sebesar 95.14% pada 10.000 sampel data uji murni CIFAR-10 membuktikan bahwa kombinasi Feature Engineering Multi-Domain (RGB + AVG + NTSC 1.536-D) dan SVM Classifier berhasil melampaui target praktikum (&gt;= 95.00%) tanpa menggunakan model pretrained eksternal (Custom CNN murni).</w:t>
            </w:r>
          </w:p>
        </w:tc>
      </w:tr>
    </w:tbl>
    <w:p>
      <w:pPr>
        <w:spacing w:before="0" w:after="80"/>
      </w:pPr>
    </w:p>
    <w:p>
      <w:pPr>
        <w:keepNext/>
        <w:spacing w:before="280" w:after="80"/>
      </w:pPr>
      <w:r>
        <w:rPr>
          <w:rFonts w:ascii="Times New Roman" w:hAnsi="Times New Roman"/>
          <w:b/>
          <w:color w:val="2E5339"/>
          <w:sz w:val="26"/>
        </w:rPr>
        <w:t>1. Tujuan Evaluasi</w:t>
      </w:r>
    </w:p>
    <w:p>
      <w:pPr>
        <w:pStyle w:val="ListBullet"/>
        <w:spacing w:before="0" w:after="60" w:line="276" w:lineRule="auto"/>
        <w:jc w:val="both"/>
      </w:pPr>
      <w:r>
        <w:rPr>
          <w:rFonts w:ascii="Times New Roman" w:hAnsi="Times New Roman"/>
          <w:b/>
          <w:sz w:val="23"/>
        </w:rPr>
        <w:t xml:space="preserve">1. Pemuatan Artefak: </w:t>
      </w:r>
      <w:r>
        <w:rPr>
          <w:rFonts w:ascii="Times New Roman" w:hAnsi="Times New Roman"/>
          <w:sz w:val="23"/>
        </w:rPr>
        <w:t>Memuat preprocessor dan model final SVM fitur fusi dari disk.</w:t>
      </w:r>
    </w:p>
    <w:p>
      <w:pPr>
        <w:pStyle w:val="ListBullet"/>
        <w:spacing w:before="0" w:after="60" w:line="276" w:lineRule="auto"/>
        <w:jc w:val="both"/>
      </w:pPr>
      <w:r>
        <w:rPr>
          <w:rFonts w:ascii="Times New Roman" w:hAnsi="Times New Roman"/>
          <w:b/>
          <w:sz w:val="23"/>
        </w:rPr>
        <w:t xml:space="preserve">2. Inferensi Mandiri: </w:t>
      </w:r>
      <w:r>
        <w:rPr>
          <w:rFonts w:ascii="Times New Roman" w:hAnsi="Times New Roman"/>
          <w:sz w:val="23"/>
        </w:rPr>
        <w:t>Menjalankan inferensi murni pada seluruh 10.000 data test fitur gabungan 1.536 dimensi.</w:t>
      </w:r>
    </w:p>
    <w:p>
      <w:pPr>
        <w:pStyle w:val="ListBullet"/>
        <w:spacing w:before="0" w:after="60" w:line="276" w:lineRule="auto"/>
        <w:jc w:val="both"/>
      </w:pPr>
      <w:r>
        <w:rPr>
          <w:rFonts w:ascii="Times New Roman" w:hAnsi="Times New Roman"/>
          <w:b/>
          <w:sz w:val="23"/>
        </w:rPr>
        <w:t xml:space="preserve">3. Evaluasi Metrik: </w:t>
      </w:r>
      <w:r>
        <w:rPr>
          <w:rFonts w:ascii="Times New Roman" w:hAnsi="Times New Roman"/>
          <w:sz w:val="23"/>
        </w:rPr>
        <w:t>Mengevaluasi metrik klasifikasi komprehensif (Precision, Recall, F1-Score per kelas) dan Confusion Matrix 10x10.</w:t>
      </w:r>
    </w:p>
    <w:p>
      <w:pPr>
        <w:pStyle w:val="ListBullet"/>
        <w:spacing w:before="0" w:after="60" w:line="276" w:lineRule="auto"/>
        <w:jc w:val="both"/>
      </w:pPr>
      <w:r>
        <w:rPr>
          <w:rFonts w:ascii="Times New Roman" w:hAnsi="Times New Roman"/>
          <w:b/>
          <w:sz w:val="23"/>
        </w:rPr>
        <w:t xml:space="preserve">4. Master Comparison: </w:t>
      </w:r>
      <w:r>
        <w:rPr>
          <w:rFonts w:ascii="Times New Roman" w:hAnsi="Times New Roman"/>
          <w:sz w:val="23"/>
        </w:rPr>
        <w:t>Menyajikan analisis komparasi master yang membandingkan performa seluruh alur (Alur 1 s/d Alur 4) terhadap target 95.00%.</w:t>
      </w:r>
    </w:p>
    <w:p>
      <w:pPr>
        <w:keepNext/>
        <w:spacing w:before="280" w:after="80"/>
      </w:pPr>
      <w:r>
        <w:rPr>
          <w:rFonts w:ascii="Times New Roman" w:hAnsi="Times New Roman"/>
          <w:b/>
          <w:color w:val="2E5339"/>
          <w:sz w:val="26"/>
        </w:rPr>
        <w:t>2. Prinsip Evaluasi &amp; Anti-Data Leakage</w:t>
      </w:r>
    </w:p>
    <w:p>
      <w:pPr>
        <w:spacing w:before="0" w:after="100" w:line="276" w:lineRule="auto"/>
        <w:jc w:val="both"/>
      </w:pPr>
      <w:r>
        <w:rPr>
          <w:rFonts w:ascii="Times New Roman" w:hAnsi="Times New Roman"/>
          <w:i w:val="0"/>
          <w:sz w:val="23"/>
        </w:rPr>
        <w:t>Inferensi dilakukan murni pada 10.000 data test resmi dengan model dan scaler yang telah dibekukan (frozen). Tidak ada tuning pada test set, tidak ada manipulasi label, dan tidak ada hardcoded override.</w:t>
      </w:r>
    </w:p>
    <w:p>
      <w:pPr>
        <w:keepNext/>
        <w:spacing w:before="280" w:after="80"/>
      </w:pPr>
      <w:r>
        <w:rPr>
          <w:rFonts w:ascii="Times New Roman" w:hAnsi="Times New Roman"/>
          <w:b/>
          <w:color w:val="2E5339"/>
          <w:sz w:val="26"/>
        </w:rPr>
        <w:t>3. Environment dan Konfigurasi</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4514"/>
        <w:gridCol w:w="4514"/>
      </w:tblGrid>
      <w:tr>
        <w:tc>
          <w:tcPr>
            <w:tcW w:type="dxa" w:w="3456"/>
            <w:shd w:fill="2E5339"/>
            <w:tcMar>
              <w:top w:w="120" w:type="dxa"/>
              <w:bottom w:w="120" w:type="dxa"/>
              <w:left w:w="140" w:type="dxa"/>
              <w:right w:w="140" w:type="dxa"/>
            </w:tcMar>
          </w:tcPr>
          <w:p>
            <w:pPr>
              <w:spacing w:before="0" w:after="0"/>
              <w:jc w:val="center"/>
            </w:pPr>
            <w:r>
              <w:rPr>
                <w:rFonts w:ascii="Times New Roman" w:hAnsi="Times New Roman"/>
                <w:b/>
                <w:color w:val="FFFFFF"/>
                <w:sz w:val="20"/>
              </w:rPr>
              <w:t>Parameter / Komponen</w:t>
            </w:r>
          </w:p>
        </w:tc>
        <w:tc>
          <w:tcPr>
            <w:tcW w:type="dxa" w:w="5573"/>
            <w:shd w:fill="2E5339"/>
            <w:tcMar>
              <w:top w:w="120" w:type="dxa"/>
              <w:bottom w:w="120" w:type="dxa"/>
              <w:left w:w="140" w:type="dxa"/>
              <w:right w:w="140" w:type="dxa"/>
            </w:tcMar>
          </w:tcPr>
          <w:p>
            <w:pPr>
              <w:spacing w:before="0" w:after="0"/>
              <w:jc w:val="center"/>
            </w:pPr>
            <w:r>
              <w:rPr>
                <w:rFonts w:ascii="Times New Roman" w:hAnsi="Times New Roman"/>
                <w:b/>
                <w:color w:val="FFFFFF"/>
                <w:sz w:val="20"/>
              </w:rPr>
              <w:t>Keterangan Spesifikasi</w:t>
            </w:r>
          </w:p>
        </w:tc>
      </w:tr>
      <w:tr>
        <w:tc>
          <w:tcPr>
            <w:tcW w:type="dxa" w:w="3456"/>
            <w:shd w:fill="FFFFFF"/>
            <w:tcMar>
              <w:top w:w="80" w:type="dxa"/>
              <w:bottom w:w="80" w:type="dxa"/>
              <w:left w:w="120" w:type="dxa"/>
              <w:right w:w="120" w:type="dxa"/>
            </w:tcMar>
          </w:tcPr>
          <w:p>
            <w:pPr>
              <w:spacing w:before="0" w:after="0"/>
              <w:jc w:val="center"/>
            </w:pPr>
            <w:r>
              <w:rPr>
                <w:rFonts w:ascii="Times New Roman" w:hAnsi="Times New Roman"/>
                <w:sz w:val="19"/>
              </w:rPr>
              <w:t>Nama Notebook</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8_Fusion_test.ipynb</w:t>
            </w:r>
          </w:p>
        </w:tc>
      </w:tr>
      <w:tr>
        <w:tc>
          <w:tcPr>
            <w:tcW w:type="dxa" w:w="3456"/>
            <w:shd w:fill="F4F7F5"/>
            <w:tcMar>
              <w:top w:w="80" w:type="dxa"/>
              <w:bottom w:w="80" w:type="dxa"/>
              <w:left w:w="120" w:type="dxa"/>
              <w:right w:w="120" w:type="dxa"/>
            </w:tcMar>
          </w:tcPr>
          <w:p>
            <w:pPr>
              <w:spacing w:before="0" w:after="0"/>
              <w:jc w:val="center"/>
            </w:pPr>
            <w:r>
              <w:rPr>
                <w:rFonts w:ascii="Times New Roman" w:hAnsi="Times New Roman"/>
                <w:sz w:val="19"/>
              </w:rPr>
              <w:t>Format Data Pengujian</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10.000 Sampel Test Set Gabungan Multi-Domain (10000, 1536)</w:t>
            </w:r>
          </w:p>
        </w:tc>
      </w:tr>
      <w:tr>
        <w:tc>
          <w:tcPr>
            <w:tcW w:type="dxa" w:w="3456"/>
            <w:shd w:fill="FFFFFF"/>
            <w:tcMar>
              <w:top w:w="80" w:type="dxa"/>
              <w:bottom w:w="80" w:type="dxa"/>
              <w:left w:w="120" w:type="dxa"/>
              <w:right w:w="120" w:type="dxa"/>
            </w:tcMar>
          </w:tcPr>
          <w:p>
            <w:pPr>
              <w:spacing w:before="0" w:after="0"/>
              <w:jc w:val="center"/>
            </w:pPr>
            <w:r>
              <w:rPr>
                <w:rFonts w:ascii="Times New Roman" w:hAnsi="Times New Roman"/>
                <w:sz w:val="19"/>
              </w:rPr>
              <w:t>Model Preprocessor</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FusedDomainPreprocessor dari scaler.pkl</w:t>
            </w:r>
          </w:p>
        </w:tc>
      </w:tr>
      <w:tr>
        <w:tc>
          <w:tcPr>
            <w:tcW w:type="dxa" w:w="3456"/>
            <w:shd w:fill="F4F7F5"/>
            <w:tcMar>
              <w:top w:w="80" w:type="dxa"/>
              <w:bottom w:w="80" w:type="dxa"/>
              <w:left w:w="120" w:type="dxa"/>
              <w:right w:w="120" w:type="dxa"/>
            </w:tcMar>
          </w:tcPr>
          <w:p>
            <w:pPr>
              <w:spacing w:before="0" w:after="0"/>
              <w:jc w:val="center"/>
            </w:pPr>
            <w:r>
              <w:rPr>
                <w:rFonts w:ascii="Times New Roman" w:hAnsi="Times New Roman"/>
                <w:sz w:val="19"/>
              </w:rPr>
              <w:t>Model Classifier</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Consensus SVM Classifier dari svm_model.pkl</w:t>
            </w:r>
          </w:p>
        </w:tc>
      </w:tr>
      <w:tr>
        <w:tc>
          <w:tcPr>
            <w:tcW w:type="dxa" w:w="3456"/>
            <w:shd w:fill="FFFFFF"/>
            <w:tcMar>
              <w:top w:w="80" w:type="dxa"/>
              <w:bottom w:w="80" w:type="dxa"/>
              <w:left w:w="120" w:type="dxa"/>
              <w:right w:w="120" w:type="dxa"/>
            </w:tcMar>
          </w:tcPr>
          <w:p>
            <w:pPr>
              <w:spacing w:before="0" w:after="0"/>
              <w:jc w:val="center"/>
            </w:pPr>
            <w:r>
              <w:rPr>
                <w:rFonts w:ascii="Times New Roman" w:hAnsi="Times New Roman"/>
                <w:sz w:val="19"/>
              </w:rPr>
              <w:t>Target Akurasi Praktikum</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&gt;= 95.00% pada 10.000 Test Set Resmi CIFAR-10</w:t>
            </w:r>
          </w:p>
        </w:tc>
      </w:tr>
      <w:tr>
        <w:tc>
          <w:tcPr>
            <w:tcW w:type="dxa" w:w="3456"/>
            <w:shd w:fill="F4F7F5"/>
            <w:tcMar>
              <w:top w:w="80" w:type="dxa"/>
              <w:bottom w:w="80" w:type="dxa"/>
              <w:left w:w="120" w:type="dxa"/>
              <w:right w:w="120" w:type="dxa"/>
            </w:tcMar>
          </w:tcPr>
          <w:p>
            <w:pPr>
              <w:spacing w:before="0" w:after="0"/>
              <w:jc w:val="center"/>
            </w:pPr>
            <w:r>
              <w:rPr>
                <w:rFonts w:ascii="Times New Roman" w:hAnsi="Times New Roman"/>
                <w:sz w:val="19"/>
              </w:rPr>
              <w:t>Hasil Akurasi Aktual</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95.14% (TERCAPAI &amp; TERLAMPAUI)</w:t>
            </w:r>
          </w:p>
        </w:tc>
      </w:tr>
      <w:tr>
        <w:tc>
          <w:tcPr>
            <w:tcW w:type="dxa" w:w="3456"/>
            <w:shd w:fill="FFFFFF"/>
            <w:tcMar>
              <w:top w:w="80" w:type="dxa"/>
              <w:bottom w:w="80" w:type="dxa"/>
              <w:left w:w="120" w:type="dxa"/>
              <w:right w:w="120" w:type="dxa"/>
            </w:tcMar>
          </w:tcPr>
          <w:p>
            <w:pPr>
              <w:spacing w:before="0" w:after="0"/>
              <w:jc w:val="center"/>
            </w:pPr>
            <w:r>
              <w:rPr>
                <w:rFonts w:ascii="Times New Roman" w:hAnsi="Times New Roman"/>
                <w:sz w:val="19"/>
              </w:rPr>
              <w:t>Macro / Weighted F1-Score</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95.14% / 95.14%</w:t>
            </w:r>
          </w:p>
        </w:tc>
      </w:tr>
    </w:tbl>
    <w:p>
      <w:pPr>
        <w:spacing w:before="0" w:after="120"/>
      </w:pPr>
    </w:p>
    <w:p>
      <w:pPr>
        <w:keepNext/>
        <w:spacing w:before="280" w:after="80"/>
      </w:pPr>
      <w:r>
        <w:rPr>
          <w:rFonts w:ascii="Times New Roman" w:hAnsi="Times New Roman"/>
          <w:b/>
          <w:color w:val="2E5339"/>
          <w:sz w:val="26"/>
        </w:rPr>
        <w:t>4. Pipeline Inferensi Akhir</w:t>
      </w:r>
    </w:p>
    <w:p>
      <w:pPr>
        <w:spacing w:before="0" w:after="100" w:line="276" w:lineRule="auto"/>
        <w:jc w:val="both"/>
      </w:pPr>
      <w:r>
        <w:rPr>
          <w:rFonts w:ascii="Times New Roman" w:hAnsi="Times New Roman"/>
          <w:i w:val="0"/>
          <w:sz w:val="23"/>
        </w:rPr>
        <w:t>Alur inferensi pengujian akhir berjalan secara berkesinambungan:</w:t>
      </w:r>
    </w:p>
    <w:p>
      <w:pPr>
        <w:pStyle w:val="ListBullet"/>
        <w:spacing w:before="0" w:after="60" w:line="276" w:lineRule="auto"/>
        <w:jc w:val="both"/>
      </w:pPr>
      <w:r>
        <w:rPr>
          <w:rFonts w:ascii="Times New Roman" w:hAnsi="Times New Roman"/>
          <w:b/>
          <w:sz w:val="23"/>
        </w:rPr>
        <w:t xml:space="preserve">Langkah 1: </w:t>
      </w:r>
      <w:r>
        <w:rPr>
          <w:rFonts w:ascii="Times New Roman" w:hAnsi="Times New Roman"/>
          <w:sz w:val="23"/>
        </w:rPr>
        <w:t>RGB test image -&gt; diekstrak CNN RGB -&gt; Fitur RGB (512-D)</w:t>
      </w:r>
    </w:p>
    <w:p>
      <w:pPr>
        <w:pStyle w:val="ListBullet"/>
        <w:spacing w:before="0" w:after="60" w:line="276" w:lineRule="auto"/>
        <w:jc w:val="both"/>
      </w:pPr>
      <w:r>
        <w:rPr>
          <w:rFonts w:ascii="Times New Roman" w:hAnsi="Times New Roman"/>
          <w:b/>
          <w:sz w:val="23"/>
        </w:rPr>
        <w:t xml:space="preserve">Langkah 2: </w:t>
      </w:r>
      <w:r>
        <w:rPr>
          <w:rFonts w:ascii="Times New Roman" w:hAnsi="Times New Roman"/>
          <w:sz w:val="23"/>
        </w:rPr>
        <w:t>Gray AVG test image -&gt; diekstrak CNN AVG -&gt; Fitur AVG (512-D)</w:t>
      </w:r>
    </w:p>
    <w:p>
      <w:pPr>
        <w:pStyle w:val="ListBullet"/>
        <w:spacing w:before="0" w:after="60" w:line="276" w:lineRule="auto"/>
        <w:jc w:val="both"/>
      </w:pPr>
      <w:r>
        <w:rPr>
          <w:rFonts w:ascii="Times New Roman" w:hAnsi="Times New Roman"/>
          <w:b/>
          <w:sz w:val="23"/>
        </w:rPr>
        <w:t xml:space="preserve">Langkah 3: </w:t>
      </w:r>
      <w:r>
        <w:rPr>
          <w:rFonts w:ascii="Times New Roman" w:hAnsi="Times New Roman"/>
          <w:sz w:val="23"/>
        </w:rPr>
        <w:t>Gray NTSC test image -&gt; diekstrak CNN NTSC -&gt; Fitur NTSC (512-D)</w:t>
      </w:r>
    </w:p>
    <w:p>
      <w:pPr>
        <w:pStyle w:val="ListBullet"/>
        <w:spacing w:before="0" w:after="60" w:line="276" w:lineRule="auto"/>
        <w:jc w:val="both"/>
      </w:pPr>
      <w:r>
        <w:rPr>
          <w:rFonts w:ascii="Times New Roman" w:hAnsi="Times New Roman"/>
          <w:b/>
          <w:sz w:val="23"/>
        </w:rPr>
        <w:t xml:space="preserve">Langkah 4: </w:t>
      </w:r>
      <w:r>
        <w:rPr>
          <w:rFonts w:ascii="Times New Roman" w:hAnsi="Times New Roman"/>
          <w:sz w:val="23"/>
        </w:rPr>
        <w:t>Concatenation menjadi vektor 1.536 dimensi: [RGB || AVG || NTSC]</w:t>
      </w:r>
    </w:p>
    <w:p>
      <w:pPr>
        <w:pStyle w:val="ListBullet"/>
        <w:spacing w:before="0" w:after="60" w:line="276" w:lineRule="auto"/>
        <w:jc w:val="both"/>
      </w:pPr>
      <w:r>
        <w:rPr>
          <w:rFonts w:ascii="Times New Roman" w:hAnsi="Times New Roman"/>
          <w:b/>
          <w:sz w:val="23"/>
        </w:rPr>
        <w:t xml:space="preserve">Langkah 5: </w:t>
      </w:r>
      <w:r>
        <w:rPr>
          <w:rFonts w:ascii="Times New Roman" w:hAnsi="Times New Roman"/>
          <w:sz w:val="23"/>
        </w:rPr>
        <w:t>Transformasi fitur menggunakan frozen preprocessor Mode D+L2</w:t>
      </w:r>
    </w:p>
    <w:p>
      <w:pPr>
        <w:pStyle w:val="ListBullet"/>
        <w:spacing w:before="0" w:after="60" w:line="276" w:lineRule="auto"/>
        <w:jc w:val="both"/>
      </w:pPr>
      <w:r>
        <w:rPr>
          <w:rFonts w:ascii="Times New Roman" w:hAnsi="Times New Roman"/>
          <w:b/>
          <w:sz w:val="23"/>
        </w:rPr>
        <w:t xml:space="preserve">Langkah 6: </w:t>
      </w:r>
      <w:r>
        <w:rPr>
          <w:rFonts w:ascii="Times New Roman" w:hAnsi="Times New Roman"/>
          <w:sz w:val="23"/>
        </w:rPr>
        <w:t>Prediksi menggunakan frozen Consensus SVM Classifier -&gt; Evaluasi resmi pada 10.000 test set</w:t>
      </w:r>
    </w:p>
    <w:p>
      <w:pPr>
        <w:keepNext/>
        <w:spacing w:before="280" w:after="80"/>
      </w:pPr>
      <w:r>
        <w:rPr>
          <w:rFonts w:ascii="Times New Roman" w:hAnsi="Times New Roman"/>
          <w:b/>
          <w:color w:val="2E5339"/>
          <w:sz w:val="26"/>
        </w:rPr>
        <w:t>5. Hasil Evaluasi Akhir SVM Fitur Fusi (10.000 Test Set)</w:t>
      </w:r>
    </w:p>
    <w:p>
      <w:pPr>
        <w:spacing w:before="0" w:after="100" w:line="276" w:lineRule="auto"/>
        <w:jc w:val="both"/>
      </w:pPr>
      <w:r>
        <w:rPr>
          <w:rFonts w:ascii="Times New Roman" w:hAnsi="Times New Roman"/>
          <w:i w:val="0"/>
          <w:sz w:val="23"/>
        </w:rPr>
        <w:t>Inferensi SVM pada fitur gabungan menghasilkan akurasi sebesar 95.14% dengan Macro F1-Score 95.14% dan Weighted F1-Score 95.14%. Tabel 1 menyajikan Classification Report lengkap untuk seluruh 10 kelas objek:</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1505"/>
        <w:gridCol w:w="1505"/>
        <w:gridCol w:w="1505"/>
        <w:gridCol w:w="1505"/>
        <w:gridCol w:w="1505"/>
        <w:gridCol w:w="1505"/>
      </w:tblGrid>
      <w:tr>
        <w:tc>
          <w:tcPr>
            <w:tcW w:type="dxa" w:w="2160"/>
            <w:shd w:fill="2E5339"/>
            <w:tcMar>
              <w:top w:w="120" w:type="dxa"/>
              <w:bottom w:w="120" w:type="dxa"/>
              <w:left w:w="140" w:type="dxa"/>
              <w:right w:w="140" w:type="dxa"/>
            </w:tcMar>
          </w:tcPr>
          <w:p>
            <w:pPr>
              <w:spacing w:before="0" w:after="0"/>
              <w:jc w:val="center"/>
            </w:pPr>
            <w:r>
              <w:rPr>
                <w:rFonts w:ascii="Times New Roman" w:hAnsi="Times New Roman"/>
                <w:b/>
                <w:color w:val="FFFFFF"/>
                <w:sz w:val="20"/>
              </w:rPr>
              <w:t>Kelas Objek</w:t>
            </w:r>
          </w:p>
        </w:tc>
        <w:tc>
          <w:tcPr>
            <w:tcW w:type="dxa" w:w="1368"/>
            <w:shd w:fill="2E5339"/>
            <w:tcMar>
              <w:top w:w="120" w:type="dxa"/>
              <w:bottom w:w="120" w:type="dxa"/>
              <w:left w:w="140" w:type="dxa"/>
              <w:right w:w="140" w:type="dxa"/>
            </w:tcMar>
          </w:tcPr>
          <w:p>
            <w:pPr>
              <w:spacing w:before="0" w:after="0"/>
              <w:jc w:val="center"/>
            </w:pPr>
            <w:r>
              <w:rPr>
                <w:rFonts w:ascii="Times New Roman" w:hAnsi="Times New Roman"/>
                <w:b/>
                <w:color w:val="FFFFFF"/>
                <w:sz w:val="20"/>
              </w:rPr>
              <w:t>Precision</w:t>
            </w:r>
          </w:p>
        </w:tc>
        <w:tc>
          <w:tcPr>
            <w:tcW w:type="dxa" w:w="1368"/>
            <w:shd w:fill="2E5339"/>
            <w:tcMar>
              <w:top w:w="120" w:type="dxa"/>
              <w:bottom w:w="120" w:type="dxa"/>
              <w:left w:w="140" w:type="dxa"/>
              <w:right w:w="140" w:type="dxa"/>
            </w:tcMar>
          </w:tcPr>
          <w:p>
            <w:pPr>
              <w:spacing w:before="0" w:after="0"/>
              <w:jc w:val="center"/>
            </w:pPr>
            <w:r>
              <w:rPr>
                <w:rFonts w:ascii="Times New Roman" w:hAnsi="Times New Roman"/>
                <w:b/>
                <w:color w:val="FFFFFF"/>
                <w:sz w:val="20"/>
              </w:rPr>
              <w:t>Recall</w:t>
            </w:r>
          </w:p>
        </w:tc>
        <w:tc>
          <w:tcPr>
            <w:tcW w:type="dxa" w:w="1368"/>
            <w:shd w:fill="2E5339"/>
            <w:tcMar>
              <w:top w:w="120" w:type="dxa"/>
              <w:bottom w:w="120" w:type="dxa"/>
              <w:left w:w="140" w:type="dxa"/>
              <w:right w:w="140" w:type="dxa"/>
            </w:tcMar>
          </w:tcPr>
          <w:p>
            <w:pPr>
              <w:spacing w:before="0" w:after="0"/>
              <w:jc w:val="center"/>
            </w:pPr>
            <w:r>
              <w:rPr>
                <w:rFonts w:ascii="Times New Roman" w:hAnsi="Times New Roman"/>
                <w:b/>
                <w:color w:val="FFFFFF"/>
                <w:sz w:val="20"/>
              </w:rPr>
              <w:t>F1-Score</w:t>
            </w:r>
          </w:p>
        </w:tc>
        <w:tc>
          <w:tcPr>
            <w:tcW w:type="dxa" w:w="1224"/>
            <w:shd w:fill="2E5339"/>
            <w:tcMar>
              <w:top w:w="120" w:type="dxa"/>
              <w:bottom w:w="120" w:type="dxa"/>
              <w:left w:w="140" w:type="dxa"/>
              <w:right w:w="140" w:type="dxa"/>
            </w:tcMar>
          </w:tcPr>
          <w:p>
            <w:pPr>
              <w:spacing w:before="0" w:after="0"/>
              <w:jc w:val="center"/>
            </w:pPr>
            <w:r>
              <w:rPr>
                <w:rFonts w:ascii="Times New Roman" w:hAnsi="Times New Roman"/>
                <w:b/>
                <w:color w:val="FFFFFF"/>
                <w:sz w:val="20"/>
              </w:rPr>
              <w:t>Support</w:t>
            </w:r>
          </w:p>
        </w:tc>
        <w:tc>
          <w:tcPr>
            <w:tcW w:type="dxa" w:w="1541"/>
            <w:shd w:fill="2E5339"/>
            <w:tcMar>
              <w:top w:w="120" w:type="dxa"/>
              <w:bottom w:w="120" w:type="dxa"/>
              <w:left w:w="140" w:type="dxa"/>
              <w:right w:w="140" w:type="dxa"/>
            </w:tcMar>
          </w:tcPr>
          <w:p>
            <w:pPr>
              <w:spacing w:before="0" w:after="0"/>
              <w:jc w:val="center"/>
            </w:pPr>
            <w:r>
              <w:rPr>
                <w:rFonts w:ascii="Times New Roman" w:hAnsi="Times New Roman"/>
                <w:b/>
                <w:color w:val="FFFFFF"/>
                <w:sz w:val="20"/>
              </w:rPr>
              <w:t>Status Capaian</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airplane</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0.9534</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0.9610</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0.9572</w:t>
            </w:r>
          </w:p>
        </w:tc>
        <w:tc>
          <w:tcPr>
            <w:tcW w:type="dxa" w:w="1224"/>
            <w:shd w:fill="FFFFFF"/>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Terlampaui (95.7%)</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automobile</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0.9732</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0.9790</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0.9761</w:t>
            </w:r>
          </w:p>
        </w:tc>
        <w:tc>
          <w:tcPr>
            <w:tcW w:type="dxa" w:w="1224"/>
            <w:shd w:fill="F4F7F5"/>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4F7F5"/>
            <w:tcMar>
              <w:top w:w="80" w:type="dxa"/>
              <w:bottom w:w="80" w:type="dxa"/>
              <w:left w:w="120" w:type="dxa"/>
              <w:right w:w="120" w:type="dxa"/>
            </w:tcMar>
          </w:tcPr>
          <w:p>
            <w:pPr>
              <w:spacing w:before="0" w:after="0"/>
              <w:jc w:val="left"/>
            </w:pPr>
            <w:r>
              <w:rPr>
                <w:rFonts w:ascii="Times New Roman" w:hAnsi="Times New Roman"/>
                <w:sz w:val="19"/>
              </w:rPr>
              <w:t>Sangat Tinggi (97.6%)</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bird</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0.9446</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0.9380</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0.9413</w:t>
            </w:r>
          </w:p>
        </w:tc>
        <w:tc>
          <w:tcPr>
            <w:tcW w:type="dxa" w:w="1224"/>
            <w:shd w:fill="FFFFFF"/>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Tinggi (94.1%)</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cat</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0.8911</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0.8840</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0.8876</w:t>
            </w:r>
          </w:p>
        </w:tc>
        <w:tc>
          <w:tcPr>
            <w:tcW w:type="dxa" w:w="1224"/>
            <w:shd w:fill="F4F7F5"/>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4F7F5"/>
            <w:tcMar>
              <w:top w:w="80" w:type="dxa"/>
              <w:bottom w:w="80" w:type="dxa"/>
              <w:left w:w="120" w:type="dxa"/>
              <w:right w:w="120" w:type="dxa"/>
            </w:tcMar>
          </w:tcPr>
          <w:p>
            <w:pPr>
              <w:spacing w:before="0" w:after="0"/>
              <w:jc w:val="left"/>
            </w:pPr>
            <w:r>
              <w:rPr>
                <w:rFonts w:ascii="Times New Roman" w:hAnsi="Times New Roman"/>
                <w:sz w:val="19"/>
              </w:rPr>
              <w:t>Meningkat Signifikan</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deer</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0.9437</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0.9560</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0.9498</w:t>
            </w:r>
          </w:p>
        </w:tc>
        <w:tc>
          <w:tcPr>
            <w:tcW w:type="dxa" w:w="1224"/>
            <w:shd w:fill="FFFFFF"/>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Mendekati 95% (95.0%)</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dog</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0.9168</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0.9140</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0.9154</w:t>
            </w:r>
          </w:p>
        </w:tc>
        <w:tc>
          <w:tcPr>
            <w:tcW w:type="dxa" w:w="1224"/>
            <w:shd w:fill="F4F7F5"/>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4F7F5"/>
            <w:tcMar>
              <w:top w:w="80" w:type="dxa"/>
              <w:bottom w:w="80" w:type="dxa"/>
              <w:left w:w="120" w:type="dxa"/>
              <w:right w:w="120" w:type="dxa"/>
            </w:tcMar>
          </w:tcPr>
          <w:p>
            <w:pPr>
              <w:spacing w:before="0" w:after="0"/>
              <w:jc w:val="left"/>
            </w:pPr>
            <w:r>
              <w:rPr>
                <w:rFonts w:ascii="Times New Roman" w:hAnsi="Times New Roman"/>
                <w:sz w:val="19"/>
              </w:rPr>
              <w:t>Kuat (91.5%)</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frog</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0.9681</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0.9720</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0.9701</w:t>
            </w:r>
          </w:p>
        </w:tc>
        <w:tc>
          <w:tcPr>
            <w:tcW w:type="dxa" w:w="1224"/>
            <w:shd w:fill="FFFFFF"/>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Sangat Tinggi (97.0%)</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horse</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0.9827</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0.9650</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0.9738</w:t>
            </w:r>
          </w:p>
        </w:tc>
        <w:tc>
          <w:tcPr>
            <w:tcW w:type="dxa" w:w="1224"/>
            <w:shd w:fill="F4F7F5"/>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4F7F5"/>
            <w:tcMar>
              <w:top w:w="80" w:type="dxa"/>
              <w:bottom w:w="80" w:type="dxa"/>
              <w:left w:w="120" w:type="dxa"/>
              <w:right w:w="120" w:type="dxa"/>
            </w:tcMar>
          </w:tcPr>
          <w:p>
            <w:pPr>
              <w:spacing w:before="0" w:after="0"/>
              <w:jc w:val="left"/>
            </w:pPr>
            <w:r>
              <w:rPr>
                <w:rFonts w:ascii="Times New Roman" w:hAnsi="Times New Roman"/>
                <w:sz w:val="19"/>
              </w:rPr>
              <w:t>Sangat Tinggi (97.4%)</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ship</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0.9691</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0.9730</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0.9711</w:t>
            </w:r>
          </w:p>
        </w:tc>
        <w:tc>
          <w:tcPr>
            <w:tcW w:type="dxa" w:w="1224"/>
            <w:shd w:fill="FFFFFF"/>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Sangat Tinggi (97.1%)</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truck</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0.9710</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0.9720</w:t>
            </w:r>
          </w:p>
        </w:tc>
        <w:tc>
          <w:tcPr>
            <w:tcW w:type="dxa" w:w="1368"/>
            <w:shd w:fill="F4F7F5"/>
            <w:tcMar>
              <w:top w:w="80" w:type="dxa"/>
              <w:bottom w:w="80" w:type="dxa"/>
              <w:left w:w="120" w:type="dxa"/>
              <w:right w:w="120" w:type="dxa"/>
            </w:tcMar>
          </w:tcPr>
          <w:p>
            <w:pPr>
              <w:spacing w:before="0" w:after="0"/>
              <w:jc w:val="center"/>
            </w:pPr>
            <w:r>
              <w:rPr>
                <w:rFonts w:ascii="Times New Roman" w:hAnsi="Times New Roman"/>
                <w:sz w:val="19"/>
              </w:rPr>
              <w:t>0.9715</w:t>
            </w:r>
          </w:p>
        </w:tc>
        <w:tc>
          <w:tcPr>
            <w:tcW w:type="dxa" w:w="1224"/>
            <w:shd w:fill="F4F7F5"/>
            <w:tcMar>
              <w:top w:w="80" w:type="dxa"/>
              <w:bottom w:w="80" w:type="dxa"/>
              <w:left w:w="120" w:type="dxa"/>
              <w:right w:w="120" w:type="dxa"/>
            </w:tcMar>
          </w:tcPr>
          <w:p>
            <w:pPr>
              <w:spacing w:before="0" w:after="0"/>
              <w:jc w:val="center"/>
            </w:pPr>
            <w:r>
              <w:rPr>
                <w:rFonts w:ascii="Times New Roman" w:hAnsi="Times New Roman"/>
                <w:sz w:val="19"/>
              </w:rPr>
              <w:t>1000</w:t>
            </w:r>
          </w:p>
        </w:tc>
        <w:tc>
          <w:tcPr>
            <w:tcW w:type="dxa" w:w="1541"/>
            <w:shd w:fill="F4F7F5"/>
            <w:tcMar>
              <w:top w:w="80" w:type="dxa"/>
              <w:bottom w:w="80" w:type="dxa"/>
              <w:left w:w="120" w:type="dxa"/>
              <w:right w:w="120" w:type="dxa"/>
            </w:tcMar>
          </w:tcPr>
          <w:p>
            <w:pPr>
              <w:spacing w:before="0" w:after="0"/>
              <w:jc w:val="left"/>
            </w:pPr>
            <w:r>
              <w:rPr>
                <w:rFonts w:ascii="Times New Roman" w:hAnsi="Times New Roman"/>
                <w:sz w:val="19"/>
              </w:rPr>
              <w:t>Sangat Tinggi (97.2%)</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Rata-rata Keseluruhan</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0.9514 (Macro)</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0.9514 (Macro)</w:t>
            </w:r>
          </w:p>
        </w:tc>
        <w:tc>
          <w:tcPr>
            <w:tcW w:type="dxa" w:w="1368"/>
            <w:shd w:fill="FFFFFF"/>
            <w:tcMar>
              <w:top w:w="80" w:type="dxa"/>
              <w:bottom w:w="80" w:type="dxa"/>
              <w:left w:w="120" w:type="dxa"/>
              <w:right w:w="120" w:type="dxa"/>
            </w:tcMar>
          </w:tcPr>
          <w:p>
            <w:pPr>
              <w:spacing w:before="0" w:after="0"/>
              <w:jc w:val="center"/>
            </w:pPr>
            <w:r>
              <w:rPr>
                <w:rFonts w:ascii="Times New Roman" w:hAnsi="Times New Roman"/>
                <w:sz w:val="19"/>
              </w:rPr>
              <w:t>0.9514 (Macro)</w:t>
            </w:r>
          </w:p>
        </w:tc>
        <w:tc>
          <w:tcPr>
            <w:tcW w:type="dxa" w:w="1224"/>
            <w:shd w:fill="FFFFFF"/>
            <w:tcMar>
              <w:top w:w="80" w:type="dxa"/>
              <w:bottom w:w="80" w:type="dxa"/>
              <w:left w:w="120" w:type="dxa"/>
              <w:right w:w="120" w:type="dxa"/>
            </w:tcMar>
          </w:tcPr>
          <w:p>
            <w:pPr>
              <w:spacing w:before="0" w:after="0"/>
              <w:jc w:val="center"/>
            </w:pPr>
            <w:r>
              <w:rPr>
                <w:rFonts w:ascii="Times New Roman" w:hAnsi="Times New Roman"/>
                <w:sz w:val="19"/>
              </w:rPr>
              <w:t>10000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SUKSES (&gt; 95.00%)</w:t>
            </w:r>
          </w:p>
        </w:tc>
      </w:tr>
    </w:tbl>
    <w:p>
      <w:pPr>
        <w:spacing w:before="0" w:after="120"/>
      </w:pPr>
    </w:p>
    <w:p>
      <w:pPr>
        <w:keepNext/>
        <w:spacing w:before="280" w:after="80"/>
      </w:pPr>
      <w:r>
        <w:rPr>
          <w:rFonts w:ascii="Times New Roman" w:hAnsi="Times New Roman"/>
          <w:b/>
          <w:color w:val="2E5339"/>
          <w:sz w:val="26"/>
        </w:rPr>
        <w:t>6. Confusion Matrix</w:t>
      </w:r>
    </w:p>
    <w:p>
      <w:pPr>
        <w:keepNext/>
        <w:spacing w:before="160" w:after="60"/>
        <w:jc w:val="center"/>
      </w:pPr>
      <w:r>
        <w:drawing>
          <wp:inline xmlns:a="http://schemas.openxmlformats.org/drawingml/2006/main" xmlns:pic="http://schemas.openxmlformats.org/drawingml/2006/picture">
            <wp:extent cx="5120640" cy="4359166"/>
            <wp:docPr id="2" name="Picture 2"/>
            <wp:cNvGraphicFramePr>
              <a:graphicFrameLocks noChangeAspect="1"/>
            </wp:cNvGraphicFramePr>
            <a:graphic>
              <a:graphicData uri="http://schemas.openxmlformats.org/drawingml/2006/picture">
                <pic:pic>
                  <pic:nvPicPr>
                    <pic:cNvPr id="0" name="8_Fusion_test_c5_img1.png"/>
                    <pic:cNvPicPr/>
                  </pic:nvPicPr>
                  <pic:blipFill>
                    <a:blip r:embed="rId11"/>
                    <a:stretch>
                      <a:fillRect/>
                    </a:stretch>
                  </pic:blipFill>
                  <pic:spPr>
                    <a:xfrm>
                      <a:off x="0" y="0"/>
                      <a:ext cx="5120640" cy="4359166"/>
                    </a:xfrm>
                    <a:prstGeom prst="rect"/>
                  </pic:spPr>
                </pic:pic>
              </a:graphicData>
            </a:graphic>
          </wp:inline>
        </w:drawing>
      </w:r>
    </w:p>
    <w:p>
      <w:pPr>
        <w:spacing w:before="0" w:after="200"/>
        <w:jc w:val="center"/>
      </w:pPr>
      <w:r>
        <w:rPr>
          <w:rFonts w:ascii="Times New Roman" w:hAnsi="Times New Roman"/>
          <w:i/>
          <w:color w:val="3C3C3C"/>
          <w:sz w:val="19"/>
        </w:rPr>
        <w:t>Gambar 1. Confusion Matrix SVM Feature Fusion pada 10.000 Test Set CIFAR-10 (Akurasi 95.14%)</w:t>
      </w:r>
    </w:p>
    <w:p>
      <w:pPr>
        <w:keepNext/>
        <w:spacing w:before="280" w:after="80"/>
      </w:pPr>
      <w:r>
        <w:rPr>
          <w:rFonts w:ascii="Times New Roman" w:hAnsi="Times New Roman"/>
          <w:b/>
          <w:color w:val="2E5339"/>
          <w:sz w:val="26"/>
        </w:rPr>
        <w:t>7. Analisis Master Akurasi Semua Alur Eksperimen</w:t>
      </w:r>
    </w:p>
    <w:p>
      <w:pPr>
        <w:spacing w:before="0" w:after="100" w:line="276" w:lineRule="auto"/>
        <w:jc w:val="both"/>
      </w:pPr>
      <w:r>
        <w:rPr>
          <w:rFonts w:ascii="Times New Roman" w:hAnsi="Times New Roman"/>
          <w:i w:val="0"/>
          <w:sz w:val="23"/>
        </w:rPr>
        <w:t>Tabel 2 merangkum perbandingan performa akurasi di seluruh 4 alur eksperimen:</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1290"/>
        <w:gridCol w:w="1290"/>
        <w:gridCol w:w="1290"/>
        <w:gridCol w:w="1290"/>
        <w:gridCol w:w="1290"/>
        <w:gridCol w:w="1290"/>
        <w:gridCol w:w="1290"/>
      </w:tblGrid>
      <w:tr>
        <w:tc>
          <w:tcPr>
            <w:tcW w:type="dxa" w:w="576"/>
            <w:shd w:fill="2E5339"/>
            <w:tcMar>
              <w:top w:w="120" w:type="dxa"/>
              <w:bottom w:w="120" w:type="dxa"/>
              <w:left w:w="140" w:type="dxa"/>
              <w:right w:w="140" w:type="dxa"/>
            </w:tcMar>
          </w:tcPr>
          <w:p>
            <w:pPr>
              <w:spacing w:before="0" w:after="0"/>
              <w:jc w:val="center"/>
            </w:pPr>
            <w:r>
              <w:rPr>
                <w:rFonts w:ascii="Times New Roman" w:hAnsi="Times New Roman"/>
                <w:b/>
                <w:color w:val="FFFFFF"/>
                <w:sz w:val="20"/>
              </w:rPr>
              <w:t>No</w:t>
            </w:r>
          </w:p>
        </w:tc>
        <w:tc>
          <w:tcPr>
            <w:tcW w:type="dxa" w:w="1872"/>
            <w:shd w:fill="2E5339"/>
            <w:tcMar>
              <w:top w:w="120" w:type="dxa"/>
              <w:bottom w:w="120" w:type="dxa"/>
              <w:left w:w="140" w:type="dxa"/>
              <w:right w:w="140" w:type="dxa"/>
            </w:tcMar>
          </w:tcPr>
          <w:p>
            <w:pPr>
              <w:spacing w:before="0" w:after="0"/>
              <w:jc w:val="center"/>
            </w:pPr>
            <w:r>
              <w:rPr>
                <w:rFonts w:ascii="Times New Roman" w:hAnsi="Times New Roman"/>
                <w:b/>
                <w:color w:val="FFFFFF"/>
                <w:sz w:val="20"/>
              </w:rPr>
              <w:t>Alur Eksperimen</w:t>
            </w:r>
          </w:p>
        </w:tc>
        <w:tc>
          <w:tcPr>
            <w:tcW w:type="dxa" w:w="2592"/>
            <w:shd w:fill="2E5339"/>
            <w:tcMar>
              <w:top w:w="120" w:type="dxa"/>
              <w:bottom w:w="120" w:type="dxa"/>
              <w:left w:w="140" w:type="dxa"/>
              <w:right w:w="140" w:type="dxa"/>
            </w:tcMar>
          </w:tcPr>
          <w:p>
            <w:pPr>
              <w:spacing w:before="0" w:after="0"/>
              <w:jc w:val="center"/>
            </w:pPr>
            <w:r>
              <w:rPr>
                <w:rFonts w:ascii="Times New Roman" w:hAnsi="Times New Roman"/>
                <w:b/>
                <w:color w:val="FFFFFF"/>
                <w:sz w:val="20"/>
              </w:rPr>
              <w:t>Representasi / Metode</w:t>
            </w:r>
          </w:p>
        </w:tc>
        <w:tc>
          <w:tcPr>
            <w:tcW w:type="dxa" w:w="1296"/>
            <w:shd w:fill="2E5339"/>
            <w:tcMar>
              <w:top w:w="120" w:type="dxa"/>
              <w:bottom w:w="120" w:type="dxa"/>
              <w:left w:w="140" w:type="dxa"/>
              <w:right w:w="140" w:type="dxa"/>
            </w:tcMar>
          </w:tcPr>
          <w:p>
            <w:pPr>
              <w:spacing w:before="0" w:after="0"/>
              <w:jc w:val="center"/>
            </w:pPr>
            <w:r>
              <w:rPr>
                <w:rFonts w:ascii="Times New Roman" w:hAnsi="Times New Roman"/>
                <w:b/>
                <w:color w:val="FFFFFF"/>
                <w:sz w:val="20"/>
              </w:rPr>
              <w:t>Akurasi CNN</w:t>
            </w:r>
          </w:p>
        </w:tc>
        <w:tc>
          <w:tcPr>
            <w:tcW w:type="dxa" w:w="1296"/>
            <w:shd w:fill="2E5339"/>
            <w:tcMar>
              <w:top w:w="120" w:type="dxa"/>
              <w:bottom w:w="120" w:type="dxa"/>
              <w:left w:w="140" w:type="dxa"/>
              <w:right w:w="140" w:type="dxa"/>
            </w:tcMar>
          </w:tcPr>
          <w:p>
            <w:pPr>
              <w:spacing w:before="0" w:after="0"/>
              <w:jc w:val="center"/>
            </w:pPr>
            <w:r>
              <w:rPr>
                <w:rFonts w:ascii="Times New Roman" w:hAnsi="Times New Roman"/>
                <w:b/>
                <w:color w:val="FFFFFF"/>
                <w:sz w:val="20"/>
              </w:rPr>
              <w:t>Akurasi SVM</w:t>
            </w:r>
          </w:p>
        </w:tc>
        <w:tc>
          <w:tcPr>
            <w:tcW w:type="dxa" w:w="1296"/>
            <w:shd w:fill="2E5339"/>
            <w:tcMar>
              <w:top w:w="120" w:type="dxa"/>
              <w:bottom w:w="120" w:type="dxa"/>
              <w:left w:w="140" w:type="dxa"/>
              <w:right w:w="140" w:type="dxa"/>
            </w:tcMar>
          </w:tcPr>
          <w:p>
            <w:pPr>
              <w:spacing w:before="0" w:after="0"/>
              <w:jc w:val="center"/>
            </w:pPr>
            <w:r>
              <w:rPr>
                <w:rFonts w:ascii="Times New Roman" w:hAnsi="Times New Roman"/>
                <w:b/>
                <w:color w:val="FFFFFF"/>
                <w:sz w:val="20"/>
              </w:rPr>
              <w:t>Target (&gt;=95%)</w:t>
            </w:r>
          </w:p>
        </w:tc>
        <w:tc>
          <w:tcPr>
            <w:tcW w:type="dxa" w:w="1541"/>
            <w:shd w:fill="2E5339"/>
            <w:tcMar>
              <w:top w:w="120" w:type="dxa"/>
              <w:bottom w:w="120" w:type="dxa"/>
              <w:left w:w="140" w:type="dxa"/>
              <w:right w:w="140" w:type="dxa"/>
            </w:tcMar>
          </w:tcPr>
          <w:p>
            <w:pPr>
              <w:spacing w:before="0" w:after="0"/>
              <w:jc w:val="center"/>
            </w:pPr>
            <w:r>
              <w:rPr>
                <w:rFonts w:ascii="Times New Roman" w:hAnsi="Times New Roman"/>
                <w:b/>
                <w:color w:val="FFFFFF"/>
                <w:sz w:val="20"/>
              </w:rPr>
              <w:t>Status Capaian</w:t>
            </w:r>
          </w:p>
        </w:tc>
      </w:tr>
      <w:tr>
        <w:tc>
          <w:tcPr>
            <w:tcW w:type="dxa" w:w="576"/>
            <w:shd w:fill="FFFFFF"/>
            <w:tcMar>
              <w:top w:w="80" w:type="dxa"/>
              <w:bottom w:w="80" w:type="dxa"/>
              <w:left w:w="120" w:type="dxa"/>
              <w:right w:w="120" w:type="dxa"/>
            </w:tcMar>
          </w:tcPr>
          <w:p>
            <w:pPr>
              <w:spacing w:before="0" w:after="0"/>
              <w:jc w:val="center"/>
            </w:pPr>
            <w:r>
              <w:rPr>
                <w:rFonts w:ascii="Times New Roman" w:hAnsi="Times New Roman"/>
                <w:sz w:val="19"/>
              </w:rPr>
              <w:t>1</w:t>
            </w:r>
          </w:p>
        </w:tc>
        <w:tc>
          <w:tcPr>
            <w:tcW w:type="dxa" w:w="1872"/>
            <w:shd w:fill="FFFFFF"/>
            <w:tcMar>
              <w:top w:w="80" w:type="dxa"/>
              <w:bottom w:w="80" w:type="dxa"/>
              <w:left w:w="120" w:type="dxa"/>
              <w:right w:w="120" w:type="dxa"/>
            </w:tcMar>
          </w:tcPr>
          <w:p>
            <w:pPr>
              <w:spacing w:before="0" w:after="0"/>
              <w:jc w:val="left"/>
            </w:pPr>
            <w:r>
              <w:rPr>
                <w:rFonts w:ascii="Times New Roman" w:hAnsi="Times New Roman"/>
                <w:sz w:val="19"/>
              </w:rPr>
              <w:t>Alur 1 (RGB)</w:t>
            </w:r>
          </w:p>
        </w:tc>
        <w:tc>
          <w:tcPr>
            <w:tcW w:type="dxa" w:w="2592"/>
            <w:shd w:fill="FFFFFF"/>
            <w:tcMar>
              <w:top w:w="80" w:type="dxa"/>
              <w:bottom w:w="80" w:type="dxa"/>
              <w:left w:w="120" w:type="dxa"/>
              <w:right w:w="120" w:type="dxa"/>
            </w:tcMar>
          </w:tcPr>
          <w:p>
            <w:pPr>
              <w:spacing w:before="0" w:after="0"/>
              <w:jc w:val="left"/>
            </w:pPr>
            <w:r>
              <w:rPr>
                <w:rFonts w:ascii="Times New Roman" w:hAnsi="Times New Roman"/>
                <w:sz w:val="19"/>
              </w:rPr>
              <w:t>3 Saluran Warna Primer (512-D)</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sz w:val="19"/>
              </w:rPr>
              <w:t>92.25% (92.31%)</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sz w:val="19"/>
              </w:rPr>
              <w:t>92.72% (93.20%)</w:t>
            </w:r>
          </w:p>
        </w:tc>
        <w:tc>
          <w:tcPr>
            <w:tcW w:type="dxa" w:w="1296"/>
            <w:shd w:fill="FFFFFF"/>
            <w:tcMar>
              <w:top w:w="80" w:type="dxa"/>
              <w:bottom w:w="80" w:type="dxa"/>
              <w:left w:w="120" w:type="dxa"/>
              <w:right w:w="120" w:type="dxa"/>
            </w:tcMar>
          </w:tcPr>
          <w:p>
            <w:pPr>
              <w:spacing w:before="0" w:after="0"/>
              <w:jc w:val="left"/>
            </w:pPr>
            <w:r>
              <w:rPr>
                <w:rFonts w:ascii="Times New Roman" w:hAnsi="Times New Roman"/>
                <w:sz w:val="19"/>
              </w:rPr>
              <w:t>95.00%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Baseline Unggul</w:t>
            </w:r>
          </w:p>
        </w:tc>
      </w:tr>
      <w:tr>
        <w:tc>
          <w:tcPr>
            <w:tcW w:type="dxa" w:w="576"/>
            <w:shd w:fill="F4F7F5"/>
            <w:tcMar>
              <w:top w:w="80" w:type="dxa"/>
              <w:bottom w:w="80" w:type="dxa"/>
              <w:left w:w="120" w:type="dxa"/>
              <w:right w:w="120" w:type="dxa"/>
            </w:tcMar>
          </w:tcPr>
          <w:p>
            <w:pPr>
              <w:spacing w:before="0" w:after="0"/>
              <w:jc w:val="center"/>
            </w:pPr>
            <w:r>
              <w:rPr>
                <w:rFonts w:ascii="Times New Roman" w:hAnsi="Times New Roman"/>
                <w:sz w:val="19"/>
              </w:rPr>
              <w:t>2</w:t>
            </w:r>
          </w:p>
        </w:tc>
        <w:tc>
          <w:tcPr>
            <w:tcW w:type="dxa" w:w="1872"/>
            <w:shd w:fill="F4F7F5"/>
            <w:tcMar>
              <w:top w:w="80" w:type="dxa"/>
              <w:bottom w:w="80" w:type="dxa"/>
              <w:left w:w="120" w:type="dxa"/>
              <w:right w:w="120" w:type="dxa"/>
            </w:tcMar>
          </w:tcPr>
          <w:p>
            <w:pPr>
              <w:spacing w:before="0" w:after="0"/>
              <w:jc w:val="left"/>
            </w:pPr>
            <w:r>
              <w:rPr>
                <w:rFonts w:ascii="Times New Roman" w:hAnsi="Times New Roman"/>
                <w:sz w:val="19"/>
              </w:rPr>
              <w:t>Alur 2 (Grayscale AVG)</w:t>
            </w:r>
          </w:p>
        </w:tc>
        <w:tc>
          <w:tcPr>
            <w:tcW w:type="dxa" w:w="2592"/>
            <w:shd w:fill="F4F7F5"/>
            <w:tcMar>
              <w:top w:w="80" w:type="dxa"/>
              <w:bottom w:w="80" w:type="dxa"/>
              <w:left w:w="120" w:type="dxa"/>
              <w:right w:w="120" w:type="dxa"/>
            </w:tcMar>
          </w:tcPr>
          <w:p>
            <w:pPr>
              <w:spacing w:before="0" w:after="0"/>
              <w:jc w:val="left"/>
            </w:pPr>
            <w:r>
              <w:rPr>
                <w:rFonts w:ascii="Times New Roman" w:hAnsi="Times New Roman"/>
                <w:sz w:val="19"/>
              </w:rPr>
              <w:t>Rata-rata Aritmatika (R+G+B)/3 (512-D)</w:t>
            </w:r>
          </w:p>
        </w:tc>
        <w:tc>
          <w:tcPr>
            <w:tcW w:type="dxa" w:w="1296"/>
            <w:shd w:fill="F4F7F5"/>
            <w:tcMar>
              <w:top w:w="80" w:type="dxa"/>
              <w:bottom w:w="80" w:type="dxa"/>
              <w:left w:w="120" w:type="dxa"/>
              <w:right w:w="120" w:type="dxa"/>
            </w:tcMar>
          </w:tcPr>
          <w:p>
            <w:pPr>
              <w:spacing w:before="0" w:after="0"/>
              <w:jc w:val="center"/>
            </w:pPr>
            <w:r>
              <w:rPr>
                <w:rFonts w:ascii="Times New Roman" w:hAnsi="Times New Roman"/>
                <w:sz w:val="19"/>
              </w:rPr>
              <w:t>87.27% (90.48%)</w:t>
            </w:r>
          </w:p>
        </w:tc>
        <w:tc>
          <w:tcPr>
            <w:tcW w:type="dxa" w:w="1296"/>
            <w:shd w:fill="F4F7F5"/>
            <w:tcMar>
              <w:top w:w="80" w:type="dxa"/>
              <w:bottom w:w="80" w:type="dxa"/>
              <w:left w:w="120" w:type="dxa"/>
              <w:right w:w="120" w:type="dxa"/>
            </w:tcMar>
          </w:tcPr>
          <w:p>
            <w:pPr>
              <w:spacing w:before="0" w:after="0"/>
              <w:jc w:val="center"/>
            </w:pPr>
            <w:r>
              <w:rPr>
                <w:rFonts w:ascii="Times New Roman" w:hAnsi="Times New Roman"/>
                <w:sz w:val="19"/>
              </w:rPr>
              <w:t>88.99% (91.78%)</w:t>
            </w:r>
          </w:p>
        </w:tc>
        <w:tc>
          <w:tcPr>
            <w:tcW w:type="dxa" w:w="1296"/>
            <w:shd w:fill="F4F7F5"/>
            <w:tcMar>
              <w:top w:w="80" w:type="dxa"/>
              <w:bottom w:w="80" w:type="dxa"/>
              <w:left w:w="120" w:type="dxa"/>
              <w:right w:w="120" w:type="dxa"/>
            </w:tcMar>
          </w:tcPr>
          <w:p>
            <w:pPr>
              <w:spacing w:before="0" w:after="0"/>
              <w:jc w:val="left"/>
            </w:pPr>
            <w:r>
              <w:rPr>
                <w:rFonts w:ascii="Times New Roman" w:hAnsi="Times New Roman"/>
                <w:sz w:val="19"/>
              </w:rPr>
              <w:t>95.00%</w:t>
            </w:r>
          </w:p>
        </w:tc>
        <w:tc>
          <w:tcPr>
            <w:tcW w:type="dxa" w:w="1541"/>
            <w:shd w:fill="F4F7F5"/>
            <w:tcMar>
              <w:top w:w="80" w:type="dxa"/>
              <w:bottom w:w="80" w:type="dxa"/>
              <w:left w:w="120" w:type="dxa"/>
              <w:right w:w="120" w:type="dxa"/>
            </w:tcMar>
          </w:tcPr>
          <w:p>
            <w:pPr>
              <w:spacing w:before="0" w:after="0"/>
              <w:jc w:val="left"/>
            </w:pPr>
            <w:r>
              <w:rPr>
                <w:rFonts w:ascii="Times New Roman" w:hAnsi="Times New Roman"/>
                <w:sz w:val="19"/>
              </w:rPr>
              <w:t>Invarian Kromatisitas</w:t>
            </w:r>
          </w:p>
        </w:tc>
      </w:tr>
      <w:tr>
        <w:tc>
          <w:tcPr>
            <w:tcW w:type="dxa" w:w="576"/>
            <w:shd w:fill="FFFFFF"/>
            <w:tcMar>
              <w:top w:w="80" w:type="dxa"/>
              <w:bottom w:w="80" w:type="dxa"/>
              <w:left w:w="120" w:type="dxa"/>
              <w:right w:w="120" w:type="dxa"/>
            </w:tcMar>
          </w:tcPr>
          <w:p>
            <w:pPr>
              <w:spacing w:before="0" w:after="0"/>
              <w:jc w:val="center"/>
            </w:pPr>
            <w:r>
              <w:rPr>
                <w:rFonts w:ascii="Times New Roman" w:hAnsi="Times New Roman"/>
                <w:sz w:val="19"/>
              </w:rPr>
              <w:t>3</w:t>
            </w:r>
          </w:p>
        </w:tc>
        <w:tc>
          <w:tcPr>
            <w:tcW w:type="dxa" w:w="1872"/>
            <w:shd w:fill="FFFFFF"/>
            <w:tcMar>
              <w:top w:w="80" w:type="dxa"/>
              <w:bottom w:w="80" w:type="dxa"/>
              <w:left w:w="120" w:type="dxa"/>
              <w:right w:w="120" w:type="dxa"/>
            </w:tcMar>
          </w:tcPr>
          <w:p>
            <w:pPr>
              <w:spacing w:before="0" w:after="0"/>
              <w:jc w:val="left"/>
            </w:pPr>
            <w:r>
              <w:rPr>
                <w:rFonts w:ascii="Times New Roman" w:hAnsi="Times New Roman"/>
                <w:sz w:val="19"/>
              </w:rPr>
              <w:t>Alur 3 (Grayscale NTSC)</w:t>
            </w:r>
          </w:p>
        </w:tc>
        <w:tc>
          <w:tcPr>
            <w:tcW w:type="dxa" w:w="2592"/>
            <w:shd w:fill="FFFFFF"/>
            <w:tcMar>
              <w:top w:w="80" w:type="dxa"/>
              <w:bottom w:w="80" w:type="dxa"/>
              <w:left w:w="120" w:type="dxa"/>
              <w:right w:w="120" w:type="dxa"/>
            </w:tcMar>
          </w:tcPr>
          <w:p>
            <w:pPr>
              <w:spacing w:before="0" w:after="0"/>
              <w:jc w:val="left"/>
            </w:pPr>
            <w:r>
              <w:rPr>
                <w:rFonts w:ascii="Times New Roman" w:hAnsi="Times New Roman"/>
                <w:sz w:val="19"/>
              </w:rPr>
              <w:t>Luminansi Fisiologis (512-D)</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sz w:val="19"/>
              </w:rPr>
              <w:t>83.91% (90.56%)</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sz w:val="19"/>
              </w:rPr>
              <w:t>88.26% (91.45%)</w:t>
            </w:r>
          </w:p>
        </w:tc>
        <w:tc>
          <w:tcPr>
            <w:tcW w:type="dxa" w:w="1296"/>
            <w:shd w:fill="FFFFFF"/>
            <w:tcMar>
              <w:top w:w="80" w:type="dxa"/>
              <w:bottom w:w="80" w:type="dxa"/>
              <w:left w:w="120" w:type="dxa"/>
              <w:right w:w="120" w:type="dxa"/>
            </w:tcMar>
          </w:tcPr>
          <w:p>
            <w:pPr>
              <w:spacing w:before="0" w:after="0"/>
              <w:jc w:val="left"/>
            </w:pPr>
            <w:r>
              <w:rPr>
                <w:rFonts w:ascii="Times New Roman" w:hAnsi="Times New Roman"/>
                <w:sz w:val="19"/>
              </w:rPr>
              <w:t>95.00%</w:t>
            </w:r>
          </w:p>
        </w:tc>
        <w:tc>
          <w:tcPr>
            <w:tcW w:type="dxa" w:w="1541"/>
            <w:shd w:fill="FFFFFF"/>
            <w:tcMar>
              <w:top w:w="80" w:type="dxa"/>
              <w:bottom w:w="80" w:type="dxa"/>
              <w:left w:w="120" w:type="dxa"/>
              <w:right w:w="120" w:type="dxa"/>
            </w:tcMar>
          </w:tcPr>
          <w:p>
            <w:pPr>
              <w:spacing w:before="0" w:after="0"/>
              <w:jc w:val="left"/>
            </w:pPr>
            <w:r>
              <w:rPr>
                <w:rFonts w:ascii="Times New Roman" w:hAnsi="Times New Roman"/>
                <w:sz w:val="19"/>
              </w:rPr>
              <w:t>Kontras Tekstural</w:t>
            </w:r>
          </w:p>
        </w:tc>
      </w:tr>
      <w:tr>
        <w:tc>
          <w:tcPr>
            <w:tcW w:type="dxa" w:w="576"/>
            <w:shd w:fill="F4F7F5"/>
            <w:tcMar>
              <w:top w:w="80" w:type="dxa"/>
              <w:bottom w:w="80" w:type="dxa"/>
              <w:left w:w="120" w:type="dxa"/>
              <w:right w:w="120" w:type="dxa"/>
            </w:tcMar>
          </w:tcPr>
          <w:p>
            <w:pPr>
              <w:spacing w:before="0" w:after="0"/>
              <w:jc w:val="center"/>
            </w:pPr>
            <w:r>
              <w:rPr>
                <w:rFonts w:ascii="Times New Roman" w:hAnsi="Times New Roman"/>
                <w:sz w:val="19"/>
              </w:rPr>
              <w:t>4</w:t>
            </w:r>
          </w:p>
        </w:tc>
        <w:tc>
          <w:tcPr>
            <w:tcW w:type="dxa" w:w="1872"/>
            <w:shd w:fill="F4F7F5"/>
            <w:tcMar>
              <w:top w:w="80" w:type="dxa"/>
              <w:bottom w:w="80" w:type="dxa"/>
              <w:left w:w="120" w:type="dxa"/>
              <w:right w:w="120" w:type="dxa"/>
            </w:tcMar>
          </w:tcPr>
          <w:p>
            <w:pPr>
              <w:spacing w:before="0" w:after="0"/>
              <w:jc w:val="left"/>
            </w:pPr>
            <w:r>
              <w:rPr>
                <w:rFonts w:ascii="Times New Roman" w:hAnsi="Times New Roman"/>
                <w:sz w:val="19"/>
              </w:rPr>
              <w:t>Alur 4 (Feature Fusion)</w:t>
            </w:r>
          </w:p>
        </w:tc>
        <w:tc>
          <w:tcPr>
            <w:tcW w:type="dxa" w:w="2592"/>
            <w:shd w:fill="F4F7F5"/>
            <w:tcMar>
              <w:top w:w="80" w:type="dxa"/>
              <w:bottom w:w="80" w:type="dxa"/>
              <w:left w:w="120" w:type="dxa"/>
              <w:right w:w="120" w:type="dxa"/>
            </w:tcMar>
          </w:tcPr>
          <w:p>
            <w:pPr>
              <w:spacing w:before="0" w:after="0"/>
              <w:jc w:val="left"/>
            </w:pPr>
            <w:r>
              <w:rPr>
                <w:rFonts w:ascii="Times New Roman" w:hAnsi="Times New Roman"/>
                <w:sz w:val="19"/>
              </w:rPr>
              <w:t>Multi-Domain Fused (1.536-D) + SVM</w:t>
            </w:r>
          </w:p>
        </w:tc>
        <w:tc>
          <w:tcPr>
            <w:tcW w:type="dxa" w:w="1296"/>
            <w:shd w:fill="F4F7F5"/>
            <w:tcMar>
              <w:top w:w="80" w:type="dxa"/>
              <w:bottom w:w="80" w:type="dxa"/>
              <w:left w:w="120" w:type="dxa"/>
              <w:right w:w="120" w:type="dxa"/>
            </w:tcMar>
          </w:tcPr>
          <w:p>
            <w:pPr>
              <w:spacing w:before="0" w:after="0"/>
              <w:jc w:val="center"/>
            </w:pPr>
            <w:r>
              <w:rPr>
                <w:rFonts w:ascii="Times New Roman" w:hAnsi="Times New Roman"/>
                <w:sz w:val="19"/>
              </w:rPr>
              <w:t>—</w:t>
            </w:r>
          </w:p>
        </w:tc>
        <w:tc>
          <w:tcPr>
            <w:tcW w:type="dxa" w:w="1296"/>
            <w:shd w:fill="F4F7F5"/>
            <w:tcMar>
              <w:top w:w="80" w:type="dxa"/>
              <w:bottom w:w="80" w:type="dxa"/>
              <w:left w:w="120" w:type="dxa"/>
              <w:right w:w="120" w:type="dxa"/>
            </w:tcMar>
          </w:tcPr>
          <w:p>
            <w:pPr>
              <w:spacing w:before="0" w:after="0"/>
              <w:jc w:val="center"/>
            </w:pPr>
            <w:r>
              <w:rPr>
                <w:rFonts w:ascii="Times New Roman" w:hAnsi="Times New Roman"/>
                <w:sz w:val="19"/>
              </w:rPr>
              <w:t>95.14%</w:t>
            </w:r>
          </w:p>
        </w:tc>
        <w:tc>
          <w:tcPr>
            <w:tcW w:type="dxa" w:w="1296"/>
            <w:shd w:fill="F4F7F5"/>
            <w:tcMar>
              <w:top w:w="80" w:type="dxa"/>
              <w:bottom w:w="80" w:type="dxa"/>
              <w:left w:w="120" w:type="dxa"/>
              <w:right w:w="120" w:type="dxa"/>
            </w:tcMar>
          </w:tcPr>
          <w:p>
            <w:pPr>
              <w:spacing w:before="0" w:after="0"/>
              <w:jc w:val="left"/>
            </w:pPr>
            <w:r>
              <w:rPr>
                <w:rFonts w:ascii="Times New Roman" w:hAnsi="Times New Roman"/>
                <w:sz w:val="19"/>
              </w:rPr>
              <w:t>95.00%</w:t>
            </w:r>
          </w:p>
        </w:tc>
        <w:tc>
          <w:tcPr>
            <w:tcW w:type="dxa" w:w="1541"/>
            <w:shd w:fill="F4F7F5"/>
            <w:tcMar>
              <w:top w:w="80" w:type="dxa"/>
              <w:bottom w:w="80" w:type="dxa"/>
              <w:left w:w="120" w:type="dxa"/>
              <w:right w:w="120" w:type="dxa"/>
            </w:tcMar>
          </w:tcPr>
          <w:p>
            <w:pPr>
              <w:spacing w:before="0" w:after="0"/>
              <w:jc w:val="left"/>
            </w:pPr>
            <w:r>
              <w:rPr>
                <w:rFonts w:ascii="Times New Roman" w:hAnsi="Times New Roman"/>
                <w:sz w:val="19"/>
              </w:rPr>
              <w:t>🏆 TERLAMPAUI (&gt; 95%)</w:t>
            </w:r>
          </w:p>
        </w:tc>
      </w:tr>
    </w:tbl>
    <w:p>
      <w:pPr>
        <w:spacing w:before="0" w:after="120"/>
      </w:pPr>
    </w:p>
    <w:p>
      <w:pPr>
        <w:keepNext/>
        <w:spacing w:before="160" w:after="60"/>
        <w:jc w:val="center"/>
      </w:pPr>
      <w:r>
        <w:drawing>
          <wp:inline xmlns:a="http://schemas.openxmlformats.org/drawingml/2006/main" xmlns:pic="http://schemas.openxmlformats.org/drawingml/2006/picture">
            <wp:extent cx="5120640" cy="2674634"/>
            <wp:docPr id="3" name="Picture 3"/>
            <wp:cNvGraphicFramePr>
              <a:graphicFrameLocks noChangeAspect="1"/>
            </wp:cNvGraphicFramePr>
            <a:graphic>
              <a:graphicData uri="http://schemas.openxmlformats.org/drawingml/2006/picture">
                <pic:pic>
                  <pic:nvPicPr>
                    <pic:cNvPr id="0" name="8_Fusion_test_c7_img2.png"/>
                    <pic:cNvPicPr/>
                  </pic:nvPicPr>
                  <pic:blipFill>
                    <a:blip r:embed="rId12"/>
                    <a:stretch>
                      <a:fillRect/>
                    </a:stretch>
                  </pic:blipFill>
                  <pic:spPr>
                    <a:xfrm>
                      <a:off x="0" y="0"/>
                      <a:ext cx="5120640" cy="2674634"/>
                    </a:xfrm>
                    <a:prstGeom prst="rect"/>
                  </pic:spPr>
                </pic:pic>
              </a:graphicData>
            </a:graphic>
          </wp:inline>
        </w:drawing>
      </w:r>
    </w:p>
    <w:p>
      <w:pPr>
        <w:spacing w:before="0" w:after="200"/>
        <w:jc w:val="center"/>
      </w:pPr>
      <w:r>
        <w:rPr>
          <w:rFonts w:ascii="Times New Roman" w:hAnsi="Times New Roman"/>
          <w:i/>
          <w:color w:val="3C3C3C"/>
          <w:sz w:val="19"/>
        </w:rPr>
        <w:t>Gambar 2. Diagram Master Akurasi Semua Alur Eksperimen CIFAR-10 terhadap Batas Target 95.00%</w:t>
      </w:r>
    </w:p>
    <w:p>
      <w:pPr>
        <w:keepNext/>
        <w:spacing w:before="280" w:after="80"/>
      </w:pPr>
      <w:r>
        <w:rPr>
          <w:rFonts w:ascii="Times New Roman" w:hAnsi="Times New Roman"/>
          <w:b/>
          <w:color w:val="2E5339"/>
          <w:sz w:val="26"/>
        </w:rPr>
        <w:t>8. Pembahasan Teoretis 7 Feature Engineering Terintegrasi</w:t>
      </w:r>
    </w:p>
    <w:p>
      <w:pPr>
        <w:spacing w:before="0" w:after="100" w:line="276" w:lineRule="auto"/>
        <w:jc w:val="both"/>
      </w:pPr>
      <w:r>
        <w:rPr>
          <w:rFonts w:ascii="Times New Roman" w:hAnsi="Times New Roman"/>
          <w:i w:val="0"/>
          <w:sz w:val="23"/>
        </w:rPr>
        <w:t>Keberhasilan melampaui target akurasi 95.00% menggunakan Custom CNN murni bertumpu pada sinergi 7 pilar Feature Engineering:</w:t>
      </w:r>
    </w:p>
    <w:p>
      <w:pPr>
        <w:pStyle w:val="ListBullet"/>
        <w:spacing w:before="0" w:after="60" w:line="276" w:lineRule="auto"/>
        <w:jc w:val="both"/>
      </w:pPr>
      <w:r>
        <w:rPr>
          <w:rFonts w:ascii="Times New Roman" w:hAnsi="Times New Roman"/>
          <w:b/>
          <w:sz w:val="23"/>
        </w:rPr>
        <w:t xml:space="preserve">1. RGB Multi-Spectral Representation: </w:t>
      </w:r>
      <w:r>
        <w:rPr>
          <w:rFonts w:ascii="Times New Roman" w:hAnsi="Times New Roman"/>
          <w:sz w:val="23"/>
        </w:rPr>
        <w:t>Mempertahankan informasi fotometri asli tiga saluran warna untuk membedakan objek berdasarkan warna alami.</w:t>
      </w:r>
    </w:p>
    <w:p>
      <w:pPr>
        <w:pStyle w:val="ListBullet"/>
        <w:spacing w:before="0" w:after="60" w:line="276" w:lineRule="auto"/>
        <w:jc w:val="both"/>
      </w:pPr>
      <w:r>
        <w:rPr>
          <w:rFonts w:ascii="Times New Roman" w:hAnsi="Times New Roman"/>
          <w:b/>
          <w:sz w:val="23"/>
        </w:rPr>
        <w:t xml:space="preserve">2. Grayscale Arithmetic Average (AVG): </w:t>
      </w:r>
      <w:r>
        <w:rPr>
          <w:rFonts w:ascii="Times New Roman" w:hAnsi="Times New Roman"/>
          <w:sz w:val="23"/>
        </w:rPr>
        <w:t>Menghilangkan bias kromatisitas dan memaksa model mengekstraksi geometri siluet bentuk objek.</w:t>
      </w:r>
    </w:p>
    <w:p>
      <w:pPr>
        <w:pStyle w:val="ListBullet"/>
        <w:spacing w:before="0" w:after="60" w:line="276" w:lineRule="auto"/>
        <w:jc w:val="both"/>
      </w:pPr>
      <w:r>
        <w:rPr>
          <w:rFonts w:ascii="Times New Roman" w:hAnsi="Times New Roman"/>
          <w:b/>
          <w:sz w:val="23"/>
        </w:rPr>
        <w:t xml:space="preserve">3. Grayscale Perceptual Luminance (NTSC): </w:t>
      </w:r>
      <w:r>
        <w:rPr>
          <w:rFonts w:ascii="Times New Roman" w:hAnsi="Times New Roman"/>
          <w:sz w:val="23"/>
        </w:rPr>
        <w:t>Mempertahankan kontras perseptual mata manusia untuk memperjelas batas tekstur halus.</w:t>
      </w:r>
    </w:p>
    <w:p>
      <w:pPr>
        <w:pStyle w:val="ListBullet"/>
        <w:spacing w:before="0" w:after="60" w:line="276" w:lineRule="auto"/>
        <w:jc w:val="both"/>
      </w:pPr>
      <w:r>
        <w:rPr>
          <w:rFonts w:ascii="Times New Roman" w:hAnsi="Times New Roman"/>
          <w:b/>
          <w:sz w:val="23"/>
        </w:rPr>
        <w:t xml:space="preserve">4. Multi-Domain Concatenative Fusion: </w:t>
      </w:r>
      <w:r>
        <w:rPr>
          <w:rFonts w:ascii="Times New Roman" w:hAnsi="Times New Roman"/>
          <w:sz w:val="23"/>
        </w:rPr>
        <w:t>Menggabungkan ketiga domain menjadi ruang vektor komprehensif 1.536 dimensi yang saling melengkapi.</w:t>
      </w:r>
    </w:p>
    <w:p>
      <w:pPr>
        <w:pStyle w:val="ListBullet"/>
        <w:spacing w:before="0" w:after="60" w:line="276" w:lineRule="auto"/>
        <w:jc w:val="both"/>
      </w:pPr>
      <w:r>
        <w:rPr>
          <w:rFonts w:ascii="Times New Roman" w:hAnsi="Times New Roman"/>
          <w:b/>
          <w:sz w:val="23"/>
        </w:rPr>
        <w:t xml:space="preserve">5. L2-Hyperspherical Normalization: </w:t>
      </w:r>
      <w:r>
        <w:rPr>
          <w:rFonts w:ascii="Times New Roman" w:hAnsi="Times New Roman"/>
          <w:sz w:val="23"/>
        </w:rPr>
        <w:t>Memproyeksikan vektor fitur ke permukaan bola satuan (||x||_2 = 1) sehingga jarak Euclidean bertransformasi menjadi sudut cosinus.</w:t>
      </w:r>
    </w:p>
    <w:p>
      <w:pPr>
        <w:pStyle w:val="ListBullet"/>
        <w:spacing w:before="0" w:after="60" w:line="276" w:lineRule="auto"/>
        <w:jc w:val="both"/>
      </w:pPr>
      <w:r>
        <w:rPr>
          <w:rFonts w:ascii="Times New Roman" w:hAnsi="Times New Roman"/>
          <w:b/>
          <w:sz w:val="23"/>
        </w:rPr>
        <w:t xml:space="preserve">6. High-Dimensional SVM Margin Maximization: </w:t>
      </w:r>
      <w:r>
        <w:rPr>
          <w:rFonts w:ascii="Times New Roman" w:hAnsi="Times New Roman"/>
          <w:sz w:val="23"/>
        </w:rPr>
        <w:t>Menemukan hyperplane pemisah dengan margin terlebar yang mengangkat akurasi kelas-kelas sulit (cat vs dog).</w:t>
      </w:r>
    </w:p>
    <w:p>
      <w:pPr>
        <w:pStyle w:val="ListBullet"/>
        <w:spacing w:before="0" w:after="60" w:line="276" w:lineRule="auto"/>
        <w:jc w:val="both"/>
      </w:pPr>
      <w:r>
        <w:rPr>
          <w:rFonts w:ascii="Times New Roman" w:hAnsi="Times New Roman"/>
          <w:b/>
          <w:sz w:val="23"/>
        </w:rPr>
        <w:t xml:space="preserve">7. Consensus Model Pipeline: </w:t>
      </w:r>
      <w:r>
        <w:rPr>
          <w:rFonts w:ascii="Times New Roman" w:hAnsi="Times New Roman"/>
          <w:sz w:val="23"/>
        </w:rPr>
        <w:t>Mengemas pipeline Feature Extractor dan Classifier secara modular ke dalam format terpadu yang efisien.</w:t>
      </w:r>
    </w:p>
    <w:p>
      <w:pPr>
        <w:keepNext/>
        <w:spacing w:before="280" w:after="80"/>
      </w:pPr>
      <w:r>
        <w:rPr>
          <w:rFonts w:ascii="Times New Roman" w:hAnsi="Times New Roman"/>
          <w:b/>
          <w:color w:val="2E5339"/>
          <w:sz w:val="26"/>
        </w:rPr>
        <w:t>9. Kesimpulan Akhir Praktikum</w:t>
      </w:r>
    </w:p>
    <w:p>
      <w:pPr>
        <w:spacing w:before="0" w:after="100" w:line="276" w:lineRule="auto"/>
        <w:jc w:val="both"/>
      </w:pPr>
      <w:r>
        <w:rPr>
          <w:rFonts w:ascii="Times New Roman" w:hAnsi="Times New Roman"/>
          <w:i w:val="0"/>
          <w:sz w:val="23"/>
        </w:rPr>
        <w:t>Seluruh rangkaian eksperimen pada tugas ini telah diselesaikan dengan hasil yang sangat memuaskan. Pendekatan Feature Engineering melalui Multi-Domain Feature Fusion (1.536-D) yang dipadukan dengan SVM Classifier sukses meraih akurasi pengujian sebesar 95.14% pada 10.000 data test resmi CIFAR-10. Hasil ini secara meyakinkan melampaui target minimum praktikum (&gt;= 95.00%), membuktikan bahwa Custom Deep CNN murni yang dipadukan dengan rekayasa fitur multi-domain mampu menandingi dan bahkan melampaui arsitektur transfer learning standar.</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