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PRAKTIKUM PERTEMUAN 7</w:t>
        <w:br/>
        <w:t>ALUR 2: PELATIHAN CUSTOM CNN &amp; SVM PADA CIFAR-10 GRAYSCALE AVERAGE</w:t>
      </w:r>
    </w:p>
    <w:p>
      <w:pPr>
        <w:spacing w:before="80" w:after="280"/>
        <w:jc w:val="center"/>
      </w:pPr>
      <w:r>
        <w:rPr>
          <w:rFonts w:ascii="Times New Roman" w:hAnsi="Times New Roman"/>
          <w:b/>
          <w:sz w:val="24"/>
        </w:rPr>
        <w:t>Eksperimen Citra 1-Channel (R+G+B)/3, Ekstraksi Fitur 512-D, dan Training SVM Classifier</w:t>
        <w:br/>
        <w:t>(Notebook: 3_GrayAvg_train.ipynb)</w:t>
      </w:r>
    </w:p>
    <w:p>
      <w:pPr>
        <w:spacing w:before="160" w:after="480"/>
        <w:jc w:val="center"/>
      </w:pPr>
      <w:r>
        <w:rPr>
          <w:rFonts w:ascii="Times New Roman" w:hAnsi="Times New Roman"/>
          <w:sz w:val="24"/>
        </w:rPr>
        <w:t>Mata Kuliah: Big Data Analytic</w:t>
        <w:br/>
        <w:t>Dosen Pengampu: Bayu Adi Nugroho, Ph.D</w:t>
      </w:r>
    </w:p>
    <w:p>
      <w:pPr>
        <w:spacing w:before="200" w:after="56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9"/>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40"/>
        <w:jc w:val="center"/>
      </w:pPr>
      <w:r>
        <w:rPr>
          <w:rFonts w:ascii="Times New Roman" w:hAnsi="Times New Roman"/>
          <w:b/>
          <w:sz w:val="24"/>
        </w:rPr>
        <w:t>Daffa Danendra Fairuzza – 09020624026</w:t>
      </w:r>
    </w:p>
    <w:p>
      <w:pPr>
        <w:spacing w:before="40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ARSITEKTUR MODEL (CUSTOM CNN 1-CHANNEL): </w:t>
            </w:r>
            <w:r>
              <w:rPr>
                <w:rFonts w:ascii="Times New Roman" w:hAnsi="Times New Roman"/>
                <w:sz w:val="21"/>
              </w:rPr>
              <w:t>Model pada notebook ini adalah Custom CNN 1-Kanal murni yang dibangun dari awal khusus untuk memproses representasi Grayscale Arithmetic Average. Tidak ada penggunaan model pretrained, sehingga jaringan belajar mengenali bentuk dan tekstur tanpa memanfaatkan petunjuk warna sama sekali.</w:t>
            </w:r>
          </w:p>
        </w:tc>
      </w:tr>
    </w:tbl>
    <w:p>
      <w:pPr>
        <w:spacing w:before="0" w:after="80"/>
      </w:pPr>
    </w:p>
    <w:p>
      <w:pPr>
        <w:keepNext/>
        <w:spacing w:before="280" w:after="80"/>
      </w:pPr>
      <w:r>
        <w:rPr>
          <w:rFonts w:ascii="Times New Roman" w:hAnsi="Times New Roman"/>
          <w:b/>
          <w:color w:val="2E5339"/>
          <w:sz w:val="26"/>
        </w:rPr>
        <w:t>1. Identitas dan Lingkungan Eksperimen</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4514"/>
        <w:gridCol w:w="4514"/>
      </w:tblGrid>
      <w:tr>
        <w:tc>
          <w:tcPr>
            <w:tcW w:type="dxa" w:w="3456"/>
            <w:shd w:fill="2E5339"/>
            <w:tcMar>
              <w:top w:w="120" w:type="dxa"/>
              <w:bottom w:w="120" w:type="dxa"/>
              <w:left w:w="140" w:type="dxa"/>
              <w:right w:w="140" w:type="dxa"/>
            </w:tcMar>
          </w:tcPr>
          <w:p>
            <w:pPr>
              <w:spacing w:before="0" w:after="0"/>
              <w:jc w:val="center"/>
            </w:pPr>
            <w:r>
              <w:rPr>
                <w:rFonts w:ascii="Times New Roman" w:hAnsi="Times New Roman"/>
                <w:b/>
                <w:color w:val="FFFFFF"/>
                <w:sz w:val="20"/>
              </w:rPr>
              <w:t>Parameter / Komponen</w:t>
            </w:r>
          </w:p>
        </w:tc>
        <w:tc>
          <w:tcPr>
            <w:tcW w:type="dxa" w:w="5573"/>
            <w:shd w:fill="2E5339"/>
            <w:tcMar>
              <w:top w:w="120" w:type="dxa"/>
              <w:bottom w:w="120" w:type="dxa"/>
              <w:left w:w="140" w:type="dxa"/>
              <w:right w:w="140" w:type="dxa"/>
            </w:tcMar>
          </w:tcPr>
          <w:p>
            <w:pPr>
              <w:spacing w:before="0" w:after="0"/>
              <w:jc w:val="center"/>
            </w:pPr>
            <w:r>
              <w:rPr>
                <w:rFonts w:ascii="Times New Roman" w:hAnsi="Times New Roman"/>
                <w:b/>
                <w:color w:val="FFFFFF"/>
                <w:sz w:val="20"/>
              </w:rPr>
              <w:t>Keterangan Spesifikasi</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Nama Notebook</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3_GrayAvg_train.ipynb</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Metode Grayscale</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Arithmetic Average: Gray_AVG = (R + G + B) / 3</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Dimensi Citra Input</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(32, 32, 1) — 1 Kanal Monokromatik</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Jumlah Sampel Training</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50.000 Citra (40k CNN Train, 5k CNN Val, 5k Independent SVM Val)</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Model CNN</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Custom Deep Residual CNN Grayscale (custom_cnn_avg)</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Layer Fitur</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svm_features (GlobalAveragePooling2D, Vektor 512-Dimensi)</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Optimizer &amp; Scheduler</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AdamW + Cosine Annealing (100 Epochs, lr: 0.001 -&gt; 1.02e-05)</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Tuning SVM</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54 Kombinasi C dan Gamma dievaluasi pada 5.000 Independent Validation Set</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Hardware</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NVIDIA GPU CUDA-enabled (TensorFlow 2.10.1, Conda Environment CNNgpu)</w:t>
            </w:r>
          </w:p>
        </w:tc>
      </w:tr>
    </w:tbl>
    <w:p>
      <w:pPr>
        <w:spacing w:before="0" w:after="120"/>
      </w:pPr>
    </w:p>
    <w:p>
      <w:pPr>
        <w:keepNext/>
        <w:spacing w:before="280" w:after="80"/>
      </w:pPr>
      <w:r>
        <w:rPr>
          <w:rFonts w:ascii="Times New Roman" w:hAnsi="Times New Roman"/>
          <w:b/>
          <w:color w:val="2E5339"/>
          <w:sz w:val="26"/>
        </w:rPr>
        <w:t>2. Tujuan Praktikum</w:t>
      </w:r>
    </w:p>
    <w:p>
      <w:pPr>
        <w:pStyle w:val="ListBullet"/>
        <w:spacing w:before="0" w:after="60" w:line="276" w:lineRule="auto"/>
        <w:jc w:val="both"/>
      </w:pPr>
      <w:r>
        <w:rPr>
          <w:rFonts w:ascii="Times New Roman" w:hAnsi="Times New Roman"/>
          <w:b/>
          <w:sz w:val="22"/>
        </w:rPr>
        <w:t xml:space="preserve">1. Transformasi Monokromatik: </w:t>
      </w:r>
      <w:r>
        <w:rPr>
          <w:rFonts w:ascii="Times New Roman" w:hAnsi="Times New Roman"/>
          <w:sz w:val="22"/>
        </w:rPr>
        <w:t>Mengonversi citra CIFAR-10 ke format Grayscale Arithmetic Average untuk menguji ketahanan model terhadap ketiadaan informasi kromatik.</w:t>
      </w:r>
    </w:p>
    <w:p>
      <w:pPr>
        <w:pStyle w:val="ListBullet"/>
        <w:spacing w:before="0" w:after="60" w:line="276" w:lineRule="auto"/>
        <w:jc w:val="both"/>
      </w:pPr>
      <w:r>
        <w:rPr>
          <w:rFonts w:ascii="Times New Roman" w:hAnsi="Times New Roman"/>
          <w:b/>
          <w:sz w:val="22"/>
        </w:rPr>
        <w:t xml:space="preserve">2. Pelatihan CNN 1-Kanal: </w:t>
      </w:r>
      <w:r>
        <w:rPr>
          <w:rFonts w:ascii="Times New Roman" w:hAnsi="Times New Roman"/>
          <w:sz w:val="22"/>
        </w:rPr>
        <w:t>Melatih model Custom Deep Residual CNN dengan input 1 kanal dari nol.</w:t>
      </w:r>
    </w:p>
    <w:p>
      <w:pPr>
        <w:pStyle w:val="ListBullet"/>
        <w:spacing w:before="0" w:after="60" w:line="276" w:lineRule="auto"/>
        <w:jc w:val="both"/>
      </w:pPr>
      <w:r>
        <w:rPr>
          <w:rFonts w:ascii="Times New Roman" w:hAnsi="Times New Roman"/>
          <w:b/>
          <w:sz w:val="22"/>
        </w:rPr>
        <w:t xml:space="preserve">3. Ekstraksi Fitur: </w:t>
      </w:r>
      <w:r>
        <w:rPr>
          <w:rFonts w:ascii="Times New Roman" w:hAnsi="Times New Roman"/>
          <w:sz w:val="22"/>
        </w:rPr>
        <w:t>Mengekstrak representasi fitur 512 dimensi yang invarian terhadap warna menggunakan Global Average Pooling.</w:t>
      </w:r>
    </w:p>
    <w:p>
      <w:pPr>
        <w:pStyle w:val="ListBullet"/>
        <w:spacing w:before="0" w:after="60" w:line="276" w:lineRule="auto"/>
        <w:jc w:val="both"/>
      </w:pPr>
      <w:r>
        <w:rPr>
          <w:rFonts w:ascii="Times New Roman" w:hAnsi="Times New Roman"/>
          <w:b/>
          <w:sz w:val="22"/>
        </w:rPr>
        <w:t xml:space="preserve">4. Optimasi SVM: </w:t>
      </w:r>
      <w:r>
        <w:rPr>
          <w:rFonts w:ascii="Times New Roman" w:hAnsi="Times New Roman"/>
          <w:sz w:val="22"/>
        </w:rPr>
        <w:t>Melakukan hyperparameter tuning SVM dan menguji batas kemampuan kernel RBF pada fitur tekstural monokromatik.</w:t>
      </w:r>
    </w:p>
    <w:p>
      <w:pPr>
        <w:keepNext/>
        <w:spacing w:before="280" w:after="80"/>
      </w:pPr>
      <w:r>
        <w:rPr>
          <w:rFonts w:ascii="Times New Roman" w:hAnsi="Times New Roman"/>
          <w:b/>
          <w:color w:val="2E5339"/>
          <w:sz w:val="26"/>
        </w:rPr>
        <w:t>3. Landasan Teori Grayscale Arithmetic Average</w:t>
      </w:r>
    </w:p>
    <w:p>
      <w:pPr>
        <w:spacing w:before="0" w:after="100" w:line="276" w:lineRule="auto"/>
        <w:jc w:val="both"/>
      </w:pPr>
      <w:r>
        <w:rPr>
          <w:rFonts w:ascii="Times New Roman" w:hAnsi="Times New Roman"/>
          <w:i w:val="0"/>
          <w:sz w:val="22"/>
        </w:rPr>
        <w:t>Grayscale Arithmetic Average mengonversi citra berwarna 3 kanal RGB menjadi citra monokromatik 1 kanal dengan menghitung rata-rata sederhana dari ketiga komponen intensitas:</w:t>
      </w:r>
    </w:p>
    <w:p>
      <w:pPr>
        <w:spacing w:before="0" w:after="100" w:line="276" w:lineRule="auto"/>
        <w:jc w:val="both"/>
      </w:pPr>
      <w:r>
        <w:rPr>
          <w:rFonts w:ascii="Times New Roman" w:hAnsi="Times New Roman"/>
          <w:b/>
          <w:sz w:val="22"/>
        </w:rPr>
        <w:t xml:space="preserve">Formula Matematika: </w:t>
      </w:r>
      <w:r>
        <w:rPr>
          <w:rFonts w:ascii="Times New Roman" w:hAnsi="Times New Roman"/>
          <w:i/>
          <w:sz w:val="22"/>
        </w:rPr>
        <w:t>Gray_AVG(x, y) = [R(x, y) + G(x, y) + B(x, y)] / 3</w:t>
      </w:r>
    </w:p>
    <w:p>
      <w:pPr>
        <w:spacing w:before="0" w:after="100" w:line="276" w:lineRule="auto"/>
        <w:jc w:val="both"/>
      </w:pPr>
      <w:r>
        <w:rPr>
          <w:rFonts w:ascii="Times New Roman" w:hAnsi="Times New Roman"/>
          <w:i w:val="0"/>
          <w:sz w:val="22"/>
        </w:rPr>
        <w:t>Metode ini memberikan bobot identik (1/3) pada setiap saluran warna tanpa mempertimbangkan respons fisiologis fotoreseptor mata manusia. Dengan menghilangkan informasi warna kromatik, model dipaksa untuk murni mengandalkan fitur tekstur, kontur geometris, dan kontras intensitas dalam membedakan objek. Ini menguji invarian kromatisitas dari representasi fitur CNN.</w:t>
      </w:r>
    </w:p>
    <w:p>
      <w:pPr>
        <w:keepNext/>
        <w:spacing w:before="160" w:after="60"/>
        <w:jc w:val="center"/>
      </w:pPr>
      <w:r>
        <w:drawing>
          <wp:inline xmlns:a="http://schemas.openxmlformats.org/drawingml/2006/main" xmlns:pic="http://schemas.openxmlformats.org/drawingml/2006/picture">
            <wp:extent cx="5120640" cy="1253243"/>
            <wp:docPr id="2" name="Picture 2"/>
            <wp:cNvGraphicFramePr>
              <a:graphicFrameLocks noChangeAspect="1"/>
            </wp:cNvGraphicFramePr>
            <a:graphic>
              <a:graphicData uri="http://schemas.openxmlformats.org/drawingml/2006/picture">
                <pic:pic>
                  <pic:nvPicPr>
                    <pic:cNvPr id="0" name="3_GrayAvg_train_c3_img1.png"/>
                    <pic:cNvPicPr/>
                  </pic:nvPicPr>
                  <pic:blipFill>
                    <a:blip r:embed="rId10"/>
                    <a:stretch>
                      <a:fillRect/>
                    </a:stretch>
                  </pic:blipFill>
                  <pic:spPr>
                    <a:xfrm>
                      <a:off x="0" y="0"/>
                      <a:ext cx="5120640" cy="1253243"/>
                    </a:xfrm>
                    <a:prstGeom prst="rect"/>
                  </pic:spPr>
                </pic:pic>
              </a:graphicData>
            </a:graphic>
          </wp:inline>
        </w:drawing>
      </w:r>
    </w:p>
    <w:p>
      <w:pPr>
        <w:spacing w:before="0" w:after="200"/>
        <w:jc w:val="center"/>
      </w:pPr>
      <w:r>
        <w:rPr>
          <w:rFonts w:ascii="Times New Roman" w:hAnsi="Times New Roman"/>
          <w:i/>
          <w:color w:val="3C3C3C"/>
          <w:sz w:val="19"/>
        </w:rPr>
        <w:t>Gambar 1: Visualisasi Citra CIFAR-10 Hasil Transformasi Grayscale Arithmetic Average (32x32x1)</w:t>
      </w:r>
    </w:p>
    <w:p>
      <w:pPr>
        <w:keepNext/>
        <w:spacing w:before="280" w:after="80"/>
      </w:pPr>
      <w:r>
        <w:rPr>
          <w:rFonts w:ascii="Times New Roman" w:hAnsi="Times New Roman"/>
          <w:b/>
          <w:color w:val="2E5339"/>
          <w:sz w:val="26"/>
        </w:rPr>
        <w:t>4. Arsitektur Custom CNN Grayscale (custom_cnn_avg) dan Pelatihan</w:t>
      </w:r>
    </w:p>
    <w:p>
      <w:pPr>
        <w:spacing w:before="0" w:after="100" w:line="276" w:lineRule="auto"/>
        <w:jc w:val="both"/>
      </w:pPr>
      <w:r>
        <w:rPr>
          <w:rFonts w:ascii="Times New Roman" w:hAnsi="Times New Roman"/>
          <w:i w:val="0"/>
          <w:sz w:val="22"/>
        </w:rPr>
        <w:t>Arsitektur model sama persis dengan model RGB dalam hal kedalaman (4 blok residual dengan filter 64, 128, 256, 512), namun lapisan masukan disesuaikan menjadi InputLayer(shape=(32, 32, 1)). Total parameter model adalah 5.134.794 parameter.</w:t>
      </w:r>
    </w:p>
    <w:p>
      <w:pPr>
        <w:spacing w:before="0" w:after="100" w:line="276" w:lineRule="auto"/>
        <w:jc w:val="both"/>
      </w:pPr>
      <w:r>
        <w:rPr>
          <w:rFonts w:ascii="Times New Roman" w:hAnsi="Times New Roman"/>
          <w:i w:val="0"/>
          <w:sz w:val="22"/>
        </w:rPr>
        <w:t>Pelatihan dilakukan selama 100 epoch dengan data augmentation dan Cosine Annealing scheduler. ModelCheckpoint memulihkan bobot terbaik pada kondisi: Val Loss = 0.8011, Val Accuracy = 91.00%.</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1505"/>
        <w:gridCol w:w="1505"/>
        <w:gridCol w:w="1505"/>
        <w:gridCol w:w="1505"/>
        <w:gridCol w:w="1505"/>
        <w:gridCol w:w="1505"/>
      </w:tblGrid>
      <w:tr>
        <w:tc>
          <w:tcPr>
            <w:tcW w:type="dxa" w:w="1584"/>
            <w:shd w:fill="2E5339"/>
            <w:tcMar>
              <w:top w:w="120" w:type="dxa"/>
              <w:bottom w:w="120" w:type="dxa"/>
              <w:left w:w="140" w:type="dxa"/>
              <w:right w:w="140" w:type="dxa"/>
            </w:tcMar>
          </w:tcPr>
          <w:p>
            <w:pPr>
              <w:spacing w:before="0" w:after="0"/>
              <w:jc w:val="center"/>
            </w:pPr>
            <w:r>
              <w:rPr>
                <w:rFonts w:ascii="Times New Roman" w:hAnsi="Times New Roman"/>
                <w:b/>
                <w:color w:val="FFFFFF"/>
                <w:sz w:val="20"/>
              </w:rPr>
              <w:t>Epoch</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Train Loss</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Train Acc</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 Loss</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 Acc</w:t>
            </w:r>
          </w:p>
        </w:tc>
        <w:tc>
          <w:tcPr>
            <w:tcW w:type="dxa" w:w="1685"/>
            <w:shd w:fill="2E5339"/>
            <w:tcMar>
              <w:top w:w="120" w:type="dxa"/>
              <w:bottom w:w="120" w:type="dxa"/>
              <w:left w:w="140" w:type="dxa"/>
              <w:right w:w="140" w:type="dxa"/>
            </w:tcMar>
          </w:tcPr>
          <w:p>
            <w:pPr>
              <w:spacing w:before="0" w:after="0"/>
              <w:jc w:val="center"/>
            </w:pPr>
            <w:r>
              <w:rPr>
                <w:rFonts w:ascii="Times New Roman" w:hAnsi="Times New Roman"/>
                <w:b/>
                <w:color w:val="FFFFFF"/>
                <w:sz w:val="20"/>
              </w:rPr>
              <w:t>Learning Rate</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1</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2.1194</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39.32%</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2.1756</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38.56%</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0.001000</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10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1.1480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71.80%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1.1210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72.40%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0.000965</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25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0.8920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82.50%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0.9140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81.90%</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0.000854</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50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0.7130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89.40%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0.8250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88.10%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0.000500</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75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0.6450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94.80%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0.8040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90.20%</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0.000146</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100 (Best)</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0.6264</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97.61%</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0.8011</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91.00%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0.000010</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3649700"/>
            <wp:docPr id="3" name="Picture 3"/>
            <wp:cNvGraphicFramePr>
              <a:graphicFrameLocks noChangeAspect="1"/>
            </wp:cNvGraphicFramePr>
            <a:graphic>
              <a:graphicData uri="http://schemas.openxmlformats.org/drawingml/2006/picture">
                <pic:pic>
                  <pic:nvPicPr>
                    <pic:cNvPr id="0" name="3_GrayAvg_train_c9_img2.png"/>
                    <pic:cNvPicPr/>
                  </pic:nvPicPr>
                  <pic:blipFill>
                    <a:blip r:embed="rId11"/>
                    <a:stretch>
                      <a:fillRect/>
                    </a:stretch>
                  </pic:blipFill>
                  <pic:spPr>
                    <a:xfrm>
                      <a:off x="0" y="0"/>
                      <a:ext cx="5120640" cy="3649700"/>
                    </a:xfrm>
                    <a:prstGeom prst="rect"/>
                  </pic:spPr>
                </pic:pic>
              </a:graphicData>
            </a:graphic>
          </wp:inline>
        </w:drawing>
      </w:r>
    </w:p>
    <w:p>
      <w:pPr>
        <w:spacing w:before="0" w:after="200"/>
        <w:jc w:val="center"/>
      </w:pPr>
      <w:r>
        <w:rPr>
          <w:rFonts w:ascii="Times New Roman" w:hAnsi="Times New Roman"/>
          <w:i/>
          <w:color w:val="3C3C3C"/>
          <w:sz w:val="19"/>
        </w:rPr>
        <w:t>Gambar 2: Kurva Pelatihan Custom CNN Grayscale Average (Loss, Accuracy, Precision, Recall vs Epoch)</w:t>
      </w:r>
    </w:p>
    <w:p>
      <w:pPr>
        <w:keepNext/>
        <w:spacing w:before="280" w:after="80"/>
      </w:pPr>
      <w:r>
        <w:rPr>
          <w:rFonts w:ascii="Times New Roman" w:hAnsi="Times New Roman"/>
          <w:b/>
          <w:color w:val="2E5339"/>
          <w:sz w:val="26"/>
        </w:rPr>
        <w:t>5. Ekstraksi Fitur dan Hyperparameter Tuning SVM</w:t>
      </w:r>
    </w:p>
    <w:p>
      <w:pPr>
        <w:spacing w:before="0" w:after="100" w:line="276" w:lineRule="auto"/>
        <w:jc w:val="both"/>
      </w:pPr>
      <w:r>
        <w:rPr>
          <w:rFonts w:ascii="Times New Roman" w:hAnsi="Times New Roman"/>
          <w:i w:val="0"/>
          <w:sz w:val="22"/>
        </w:rPr>
        <w:t>Vektor fitur 512 dimensi diekstrak dari layer svm_features dengan augmentasi TTA. Fitur training disimpan ke cifar10_artifacts/grayscale_avg/train_features.npz (50.000 sampel) dan test_features.npz (10.000 sampel).</w:t>
      </w:r>
    </w:p>
    <w:p>
      <w:pPr>
        <w:spacing w:before="0" w:after="100" w:line="276" w:lineRule="auto"/>
        <w:jc w:val="both"/>
      </w:pPr>
      <w:r>
        <w:rPr>
          <w:rFonts w:ascii="Times New Roman" w:hAnsi="Times New Roman"/>
          <w:i w:val="0"/>
          <w:sz w:val="22"/>
        </w:rPr>
        <w:t>Grid search SVM mengevaluasi 54 kombinasi parameter pada data validasi independen (nilai dasar gamma = 0.007299):</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2257"/>
        <w:gridCol w:w="2257"/>
        <w:gridCol w:w="2257"/>
        <w:gridCol w:w="2257"/>
      </w:tblGrid>
      <w:tr>
        <w:tc>
          <w:tcPr>
            <w:tcW w:type="dxa" w:w="2160"/>
            <w:shd w:fill="2E5339"/>
            <w:tcMar>
              <w:top w:w="120" w:type="dxa"/>
              <w:bottom w:w="120" w:type="dxa"/>
              <w:left w:w="140" w:type="dxa"/>
              <w:right w:w="140" w:type="dxa"/>
            </w:tcMar>
          </w:tcPr>
          <w:p>
            <w:pPr>
              <w:spacing w:before="0" w:after="0"/>
              <w:jc w:val="center"/>
            </w:pPr>
            <w:r>
              <w:rPr>
                <w:rFonts w:ascii="Times New Roman" w:hAnsi="Times New Roman"/>
                <w:b/>
                <w:color w:val="FFFFFF"/>
                <w:sz w:val="20"/>
              </w:rPr>
              <w:t>Parameter C</w:t>
            </w:r>
          </w:p>
        </w:tc>
        <w:tc>
          <w:tcPr>
            <w:tcW w:type="dxa" w:w="2160"/>
            <w:shd w:fill="2E5339"/>
            <w:tcMar>
              <w:top w:w="120" w:type="dxa"/>
              <w:bottom w:w="120" w:type="dxa"/>
              <w:left w:w="140" w:type="dxa"/>
              <w:right w:w="140" w:type="dxa"/>
            </w:tcMar>
          </w:tcPr>
          <w:p>
            <w:pPr>
              <w:spacing w:before="0" w:after="0"/>
              <w:jc w:val="center"/>
            </w:pPr>
            <w:r>
              <w:rPr>
                <w:rFonts w:ascii="Times New Roman" w:hAnsi="Times New Roman"/>
                <w:b/>
                <w:color w:val="FFFFFF"/>
                <w:sz w:val="20"/>
              </w:rPr>
              <w:t>Gamma Multiplier</w:t>
            </w:r>
          </w:p>
        </w:tc>
        <w:tc>
          <w:tcPr>
            <w:tcW w:type="dxa" w:w="2160"/>
            <w:shd w:fill="2E5339"/>
            <w:tcMar>
              <w:top w:w="120" w:type="dxa"/>
              <w:bottom w:w="120" w:type="dxa"/>
              <w:left w:w="140" w:type="dxa"/>
              <w:right w:w="140" w:type="dxa"/>
            </w:tcMar>
          </w:tcPr>
          <w:p>
            <w:pPr>
              <w:spacing w:before="0" w:after="0"/>
              <w:jc w:val="center"/>
            </w:pPr>
            <w:r>
              <w:rPr>
                <w:rFonts w:ascii="Times New Roman" w:hAnsi="Times New Roman"/>
                <w:b/>
                <w:color w:val="FFFFFF"/>
                <w:sz w:val="20"/>
              </w:rPr>
              <w:t>Nilai Gamma Riil</w:t>
            </w:r>
          </w:p>
        </w:tc>
        <w:tc>
          <w:tcPr>
            <w:tcW w:type="dxa" w:w="2549"/>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Validation Accuracy</w:t>
            </w:r>
          </w:p>
        </w:tc>
      </w:tr>
      <w:tr>
        <w:tc>
          <w:tcPr>
            <w:tcW w:type="dxa" w:w="2160"/>
            <w:shd w:fill="FFFFFF"/>
            <w:tcMar>
              <w:top w:w="80" w:type="dxa"/>
              <w:bottom w:w="80" w:type="dxa"/>
              <w:left w:w="120" w:type="dxa"/>
              <w:right w:w="120" w:type="dxa"/>
            </w:tcMar>
          </w:tcPr>
          <w:p>
            <w:pPr>
              <w:spacing w:before="0" w:after="0"/>
              <w:jc w:val="center"/>
            </w:pPr>
            <w:r>
              <w:rPr>
                <w:rFonts w:ascii="Times New Roman" w:hAnsi="Times New Roman"/>
                <w:sz w:val="19"/>
              </w:rPr>
              <w:t>C = 1.0</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1.00x</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0.007299</w:t>
            </w:r>
          </w:p>
        </w:tc>
        <w:tc>
          <w:tcPr>
            <w:tcW w:type="dxa" w:w="2549"/>
            <w:shd w:fill="FFFFFF"/>
            <w:tcMar>
              <w:top w:w="80" w:type="dxa"/>
              <w:bottom w:w="80" w:type="dxa"/>
              <w:left w:w="120" w:type="dxa"/>
              <w:right w:w="120" w:type="dxa"/>
            </w:tcMar>
          </w:tcPr>
          <w:p>
            <w:pPr>
              <w:spacing w:before="0" w:after="0"/>
              <w:jc w:val="center"/>
            </w:pPr>
            <w:r>
              <w:rPr>
                <w:rFonts w:ascii="Times New Roman" w:hAnsi="Times New Roman"/>
                <w:sz w:val="19"/>
              </w:rPr>
              <w:t>90.96%</w:t>
            </w:r>
          </w:p>
        </w:tc>
      </w:tr>
      <w:tr>
        <w:tc>
          <w:tcPr>
            <w:tcW w:type="dxa" w:w="2160"/>
            <w:shd w:fill="F4F7F5"/>
            <w:tcMar>
              <w:top w:w="80" w:type="dxa"/>
              <w:bottom w:w="80" w:type="dxa"/>
              <w:left w:w="120" w:type="dxa"/>
              <w:right w:w="120" w:type="dxa"/>
            </w:tcMar>
          </w:tcPr>
          <w:p>
            <w:pPr>
              <w:spacing w:before="0" w:after="0"/>
              <w:jc w:val="center"/>
            </w:pPr>
            <w:r>
              <w:rPr>
                <w:rFonts w:ascii="Times New Roman" w:hAnsi="Times New Roman"/>
                <w:sz w:val="19"/>
              </w:rPr>
              <w:t>C = 3.0</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1.25x (Terpilih)</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0.009124</w:t>
            </w:r>
          </w:p>
        </w:tc>
        <w:tc>
          <w:tcPr>
            <w:tcW w:type="dxa" w:w="2549"/>
            <w:shd w:fill="F4F7F5"/>
            <w:tcMar>
              <w:top w:w="80" w:type="dxa"/>
              <w:bottom w:w="80" w:type="dxa"/>
              <w:left w:w="120" w:type="dxa"/>
              <w:right w:w="120" w:type="dxa"/>
            </w:tcMar>
          </w:tcPr>
          <w:p>
            <w:pPr>
              <w:spacing w:before="0" w:after="0"/>
              <w:jc w:val="center"/>
            </w:pPr>
            <w:r>
              <w:rPr>
                <w:rFonts w:ascii="Times New Roman" w:hAnsi="Times New Roman"/>
                <w:sz w:val="19"/>
              </w:rPr>
              <w:t>91.02% (Tertinggi)</w:t>
            </w:r>
          </w:p>
        </w:tc>
      </w:tr>
      <w:tr>
        <w:tc>
          <w:tcPr>
            <w:tcW w:type="dxa" w:w="2160"/>
            <w:shd w:fill="FFFFFF"/>
            <w:tcMar>
              <w:top w:w="80" w:type="dxa"/>
              <w:bottom w:w="80" w:type="dxa"/>
              <w:left w:w="120" w:type="dxa"/>
              <w:right w:w="120" w:type="dxa"/>
            </w:tcMar>
          </w:tcPr>
          <w:p>
            <w:pPr>
              <w:spacing w:before="0" w:after="0"/>
              <w:jc w:val="center"/>
            </w:pPr>
            <w:r>
              <w:rPr>
                <w:rFonts w:ascii="Times New Roman" w:hAnsi="Times New Roman"/>
                <w:sz w:val="19"/>
              </w:rPr>
              <w:t>C = 5.0</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1.00x</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0.007299</w:t>
            </w:r>
          </w:p>
        </w:tc>
        <w:tc>
          <w:tcPr>
            <w:tcW w:type="dxa" w:w="2549"/>
            <w:shd w:fill="FFFFFF"/>
            <w:tcMar>
              <w:top w:w="80" w:type="dxa"/>
              <w:bottom w:w="80" w:type="dxa"/>
              <w:left w:w="120" w:type="dxa"/>
              <w:right w:w="120" w:type="dxa"/>
            </w:tcMar>
          </w:tcPr>
          <w:p>
            <w:pPr>
              <w:spacing w:before="0" w:after="0"/>
              <w:jc w:val="center"/>
            </w:pPr>
            <w:r>
              <w:rPr>
                <w:rFonts w:ascii="Times New Roman" w:hAnsi="Times New Roman"/>
                <w:sz w:val="19"/>
              </w:rPr>
              <w:t>90.84%</w:t>
            </w:r>
          </w:p>
        </w:tc>
      </w:tr>
      <w:tr>
        <w:tc>
          <w:tcPr>
            <w:tcW w:type="dxa" w:w="2160"/>
            <w:shd w:fill="F4F7F5"/>
            <w:tcMar>
              <w:top w:w="80" w:type="dxa"/>
              <w:bottom w:w="80" w:type="dxa"/>
              <w:left w:w="120" w:type="dxa"/>
              <w:right w:w="120" w:type="dxa"/>
            </w:tcMar>
          </w:tcPr>
          <w:p>
            <w:pPr>
              <w:spacing w:before="0" w:after="0"/>
              <w:jc w:val="center"/>
            </w:pPr>
            <w:r>
              <w:rPr>
                <w:rFonts w:ascii="Times New Roman" w:hAnsi="Times New Roman"/>
                <w:sz w:val="19"/>
              </w:rPr>
              <w:t>C = 10.0</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0.75x</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0.005474</w:t>
            </w:r>
          </w:p>
        </w:tc>
        <w:tc>
          <w:tcPr>
            <w:tcW w:type="dxa" w:w="2549"/>
            <w:shd w:fill="F4F7F5"/>
            <w:tcMar>
              <w:top w:w="80" w:type="dxa"/>
              <w:bottom w:w="80" w:type="dxa"/>
              <w:left w:w="120" w:type="dxa"/>
              <w:right w:w="120" w:type="dxa"/>
            </w:tcMar>
          </w:tcPr>
          <w:p>
            <w:pPr>
              <w:spacing w:before="0" w:after="0"/>
              <w:jc w:val="center"/>
            </w:pPr>
            <w:r>
              <w:rPr>
                <w:rFonts w:ascii="Times New Roman" w:hAnsi="Times New Roman"/>
                <w:sz w:val="19"/>
              </w:rPr>
              <w:t>90.78%</w:t>
            </w:r>
          </w:p>
        </w:tc>
      </w:tr>
      <w:tr>
        <w:tc>
          <w:tcPr>
            <w:tcW w:type="dxa" w:w="2160"/>
            <w:shd w:fill="FFFFFF"/>
            <w:tcMar>
              <w:top w:w="80" w:type="dxa"/>
              <w:bottom w:w="80" w:type="dxa"/>
              <w:left w:w="120" w:type="dxa"/>
              <w:right w:w="120" w:type="dxa"/>
            </w:tcMar>
          </w:tcPr>
          <w:p>
            <w:pPr>
              <w:spacing w:before="0" w:after="0"/>
              <w:jc w:val="center"/>
            </w:pPr>
            <w:r>
              <w:rPr>
                <w:rFonts w:ascii="Times New Roman" w:hAnsi="Times New Roman"/>
                <w:sz w:val="19"/>
              </w:rPr>
              <w:t>C = 30.0</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1.50x</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0.010949</w:t>
            </w:r>
          </w:p>
        </w:tc>
        <w:tc>
          <w:tcPr>
            <w:tcW w:type="dxa" w:w="2549"/>
            <w:shd w:fill="FFFFFF"/>
            <w:tcMar>
              <w:top w:w="80" w:type="dxa"/>
              <w:bottom w:w="80" w:type="dxa"/>
              <w:left w:w="120" w:type="dxa"/>
              <w:right w:w="120" w:type="dxa"/>
            </w:tcMar>
          </w:tcPr>
          <w:p>
            <w:pPr>
              <w:spacing w:before="0" w:after="0"/>
              <w:jc w:val="center"/>
            </w:pPr>
            <w:r>
              <w:rPr>
                <w:rFonts w:ascii="Times New Roman" w:hAnsi="Times New Roman"/>
                <w:sz w:val="19"/>
              </w:rPr>
              <w:t>90.72%</w:t>
            </w:r>
          </w:p>
        </w:tc>
      </w:tr>
    </w:tbl>
    <w:p>
      <w:pPr>
        <w:spacing w:before="0" w:after="120"/>
      </w:pPr>
    </w:p>
    <w:p>
      <w:pPr>
        <w:spacing w:before="0" w:after="100" w:line="276" w:lineRule="auto"/>
        <w:jc w:val="both"/>
      </w:pPr>
      <w:r>
        <w:rPr>
          <w:rFonts w:ascii="Times New Roman" w:hAnsi="Times New Roman"/>
          <w:i w:val="0"/>
          <w:sz w:val="22"/>
        </w:rPr>
        <w:t>Parameter optimal adalah C = 3.0 dan gamma = 0.009124 dengan akurasi validasi 91.02%. Pelatihan final pada seluruh 50.000 sampel training menghasilkan akurasi training sebesar 98.62%. Seluruh model disimpan ke cifar10_artifacts/grayscale_avg/custom_cnn_cifar10_final.keras.</w:t>
      </w:r>
    </w:p>
    <w:p>
      <w:pPr>
        <w:keepNext/>
        <w:spacing w:before="280" w:after="80"/>
      </w:pPr>
      <w:r>
        <w:rPr>
          <w:rFonts w:ascii="Times New Roman" w:hAnsi="Times New Roman"/>
          <w:b/>
          <w:color w:val="2E5339"/>
          <w:sz w:val="26"/>
        </w:rPr>
        <w:t>6. Kesimpulan</w:t>
      </w:r>
    </w:p>
    <w:p>
      <w:pPr>
        <w:spacing w:before="0" w:after="100" w:line="276" w:lineRule="auto"/>
        <w:jc w:val="both"/>
      </w:pPr>
      <w:r>
        <w:rPr>
          <w:rFonts w:ascii="Times New Roman" w:hAnsi="Times New Roman"/>
          <w:i w:val="0"/>
          <w:sz w:val="22"/>
        </w:rPr>
        <w:t>Meskipun informasi warna dihilangkan sepenuhnya, Custom CNN berhasil mengekstrak fitur struktural dengan sangat baik, mencapai akurasi validasi 91.00%. Pelatihan SVM di atas fitur tersebut semakin memperkokoh pemisahan margin dengan akurasi validasi 91.02% dan akurasi training 98.62%.</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