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PRAKTIKUM PERTEMUAN 7</w:t>
        <w:br/>
        <w:t>ALUR 3: PELATIHAN CUSTOM CNN &amp; SVM PADA CIFAR-10 GRAYSCALE NTSC</w:t>
      </w:r>
    </w:p>
    <w:p>
      <w:pPr>
        <w:spacing w:before="80" w:after="280"/>
        <w:jc w:val="center"/>
      </w:pPr>
      <w:r>
        <w:rPr>
          <w:rFonts w:ascii="Times New Roman" w:hAnsi="Times New Roman"/>
          <w:b/>
          <w:sz w:val="24"/>
        </w:rPr>
        <w:t>Eksperimen Citra Perceptual Luminance (0.2989R + 0.5870G + 0.1140B), Ekstraksi Fitur &amp; SVM</w:t>
        <w:br/>
        <w:t>(Notebook: 5_GrayNTSC_train.ipynb)</w:t>
      </w:r>
    </w:p>
    <w:p>
      <w:pPr>
        <w:spacing w:before="160" w:after="480"/>
        <w:jc w:val="center"/>
      </w:pPr>
      <w:r>
        <w:rPr>
          <w:rFonts w:ascii="Times New Roman" w:hAnsi="Times New Roman"/>
          <w:sz w:val="24"/>
        </w:rPr>
        <w:t>Mata Kuliah: Big Data Analytic</w:t>
        <w:br/>
        <w:t>Dosen Pengampu: Bayu Adi Nugroho, Ph.D</w:t>
      </w:r>
    </w:p>
    <w:p>
      <w:pPr>
        <w:spacing w:before="200" w:after="56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40"/>
        <w:jc w:val="center"/>
      </w:pPr>
      <w:r>
        <w:rPr>
          <w:rFonts w:ascii="Times New Roman" w:hAnsi="Times New Roman"/>
          <w:b/>
          <w:sz w:val="24"/>
        </w:rPr>
        <w:t>Daffa Danendra Fairuzza – 09020624026</w:t>
      </w:r>
    </w:p>
    <w:p>
      <w:pPr>
        <w:spacing w:before="40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ARSITEKTUR MODEL (CUSTOM CNN PERCEPTUAL LUMINANCE): </w:t>
            </w:r>
            <w:r>
              <w:rPr>
                <w:rFonts w:ascii="Times New Roman" w:hAnsi="Times New Roman"/>
                <w:sz w:val="21"/>
              </w:rPr>
              <w:t>Arsitektur pada notebook ini adalah Custom CNN 1-Kanal murni yang dilatih dari scratch pada citra Grayscale NTSC (Perceptual Luminance). Tanpa menggunakan pretrained model eksternal, jaringan mempelajari representasi kontras luminansi yang selaras dengan fisiologi sistem penglihatan manusia.</w:t>
            </w:r>
          </w:p>
        </w:tc>
      </w:tr>
    </w:tbl>
    <w:p>
      <w:pPr>
        <w:spacing w:before="0" w:after="80"/>
      </w:pPr>
    </w:p>
    <w:p>
      <w:pPr>
        <w:keepNext/>
        <w:spacing w:before="280" w:after="80"/>
      </w:pPr>
      <w:r>
        <w:rPr>
          <w:rFonts w:ascii="Times New Roman" w:hAnsi="Times New Roman"/>
          <w:b/>
          <w:color w:val="2E5339"/>
          <w:sz w:val="26"/>
        </w:rPr>
        <w:t>1. Identitas dan Lingkungan Eksperimen</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4514"/>
        <w:gridCol w:w="4514"/>
      </w:tblGrid>
      <w:tr>
        <w:tc>
          <w:tcPr>
            <w:tcW w:type="dxa" w:w="3456"/>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 / Komponen</w:t>
            </w:r>
          </w:p>
        </w:tc>
        <w:tc>
          <w:tcPr>
            <w:tcW w:type="dxa" w:w="5573"/>
            <w:shd w:fill="2E5339"/>
            <w:tcMar>
              <w:top w:w="120" w:type="dxa"/>
              <w:bottom w:w="120" w:type="dxa"/>
              <w:left w:w="140" w:type="dxa"/>
              <w:right w:w="140" w:type="dxa"/>
            </w:tcMar>
          </w:tcPr>
          <w:p>
            <w:pPr>
              <w:spacing w:before="0" w:after="0"/>
              <w:jc w:val="center"/>
            </w:pPr>
            <w:r>
              <w:rPr>
                <w:rFonts w:ascii="Times New Roman" w:hAnsi="Times New Roman"/>
                <w:b/>
                <w:color w:val="FFFFFF"/>
                <w:sz w:val="20"/>
              </w:rPr>
              <w:t>Keterangan Spesifikasi</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Nama Notebook</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5_GrayNTSC_train.ipynb</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Metode Transformasi</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NTSC / ITU-R BT.601: Y = 0.2989*R + 0.5870*G + 0.1140*B</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Bentuk Input Citra</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(32, 32, 1) — 1 Saluran Luminansi Berbobot Fisiologis</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Jumlah Sampel Training</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50.000 Citra (40k CNN Train, 5k CNN Val, 5k Independent SVM Val)</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Arsitektur CNN</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Custom Deep Residual CNN (custom_cnn_ntsc, 5.134.794 Parameter)</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Layer Ekstraksi Fitur</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svm_features (GlobalAveragePooling2D, Vektor 512-Dimensi)</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Optimizer &amp; Scheduler</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AdamW + Cosine Annealing (100 Epochs, lr_max: 0.001 -&gt; lr_min: 1.02e-05)</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Pencarian Parameter SVM</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54 Kombinasi C dan Gamma dievaluasi pada 5.000 Independent Validation Set</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Hardware Komputasi</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NVIDIA GPU CUDA-enabled (TensorFlow 2.10.1, Conda Environment CNNgpu)</w:t>
            </w:r>
          </w:p>
        </w:tc>
      </w:tr>
    </w:tbl>
    <w:p>
      <w:pPr>
        <w:spacing w:before="0" w:after="120"/>
      </w:pPr>
    </w:p>
    <w:p>
      <w:pPr>
        <w:keepNext/>
        <w:spacing w:before="280" w:after="80"/>
      </w:pPr>
      <w:r>
        <w:rPr>
          <w:rFonts w:ascii="Times New Roman" w:hAnsi="Times New Roman"/>
          <w:b/>
          <w:color w:val="2E5339"/>
          <w:sz w:val="26"/>
        </w:rPr>
        <w:t>2. Tujuan Praktikum</w:t>
      </w:r>
    </w:p>
    <w:p>
      <w:pPr>
        <w:pStyle w:val="ListBullet"/>
        <w:spacing w:before="0" w:after="60" w:line="276" w:lineRule="auto"/>
        <w:jc w:val="both"/>
      </w:pPr>
      <w:r>
        <w:rPr>
          <w:rFonts w:ascii="Times New Roman" w:hAnsi="Times New Roman"/>
          <w:b/>
          <w:sz w:val="22"/>
        </w:rPr>
        <w:t xml:space="preserve">1. Transformasi NTSC: </w:t>
      </w:r>
      <w:r>
        <w:rPr>
          <w:rFonts w:ascii="Times New Roman" w:hAnsi="Times New Roman"/>
          <w:sz w:val="22"/>
        </w:rPr>
        <w:t>Menerapkan formula persepsi luminansi NTSC (ITU-R BT.601) pada CIFAR-10.</w:t>
      </w:r>
    </w:p>
    <w:p>
      <w:pPr>
        <w:pStyle w:val="ListBullet"/>
        <w:spacing w:before="0" w:after="60" w:line="276" w:lineRule="auto"/>
        <w:jc w:val="both"/>
      </w:pPr>
      <w:r>
        <w:rPr>
          <w:rFonts w:ascii="Times New Roman" w:hAnsi="Times New Roman"/>
          <w:b/>
          <w:sz w:val="22"/>
        </w:rPr>
        <w:t xml:space="preserve">2. Pelatihan Custom CNN: </w:t>
      </w:r>
      <w:r>
        <w:rPr>
          <w:rFonts w:ascii="Times New Roman" w:hAnsi="Times New Roman"/>
          <w:sz w:val="22"/>
        </w:rPr>
        <w:t>Melatih model Custom Deep Residual CNN monokromatik pada citra berbobot fisiologis dari nol.</w:t>
      </w:r>
    </w:p>
    <w:p>
      <w:pPr>
        <w:pStyle w:val="ListBullet"/>
        <w:spacing w:before="0" w:after="60" w:line="276" w:lineRule="auto"/>
        <w:jc w:val="both"/>
      </w:pPr>
      <w:r>
        <w:rPr>
          <w:rFonts w:ascii="Times New Roman" w:hAnsi="Times New Roman"/>
          <w:b/>
          <w:sz w:val="22"/>
        </w:rPr>
        <w:t xml:space="preserve">3. Ekstraksi Fitur: </w:t>
      </w:r>
      <w:r>
        <w:rPr>
          <w:rFonts w:ascii="Times New Roman" w:hAnsi="Times New Roman"/>
          <w:sz w:val="22"/>
        </w:rPr>
        <w:t>Mengekstrak vektor fitur 512-dimensi representasi tekstur luminansi tinggi.</w:t>
      </w:r>
    </w:p>
    <w:p>
      <w:pPr>
        <w:pStyle w:val="ListBullet"/>
        <w:spacing w:before="0" w:after="60" w:line="276" w:lineRule="auto"/>
        <w:jc w:val="both"/>
      </w:pPr>
      <w:r>
        <w:rPr>
          <w:rFonts w:ascii="Times New Roman" w:hAnsi="Times New Roman"/>
          <w:b/>
          <w:sz w:val="22"/>
        </w:rPr>
        <w:t xml:space="preserve">4. Tuning &amp; Training SVM: </w:t>
      </w:r>
      <w:r>
        <w:rPr>
          <w:rFonts w:ascii="Times New Roman" w:hAnsi="Times New Roman"/>
          <w:sz w:val="22"/>
        </w:rPr>
        <w:t>Mencari hyperparameter SVM RBF optimal dan menyimpan model terpadu.</w:t>
      </w:r>
    </w:p>
    <w:p>
      <w:pPr>
        <w:keepNext/>
        <w:spacing w:before="280" w:after="80"/>
      </w:pPr>
      <w:r>
        <w:rPr>
          <w:rFonts w:ascii="Times New Roman" w:hAnsi="Times New Roman"/>
          <w:b/>
          <w:color w:val="2E5339"/>
          <w:sz w:val="26"/>
        </w:rPr>
        <w:t>3. Landasan Teori Grayscale NTSC (Perceptual Luminance)</w:t>
      </w:r>
    </w:p>
    <w:p>
      <w:pPr>
        <w:spacing w:before="0" w:after="100" w:line="276" w:lineRule="auto"/>
        <w:jc w:val="both"/>
      </w:pPr>
      <w:r>
        <w:rPr>
          <w:rFonts w:ascii="Times New Roman" w:hAnsi="Times New Roman"/>
          <w:i w:val="0"/>
          <w:sz w:val="22"/>
        </w:rPr>
        <w:t>Berbeda dengan Grayscale Average yang merata-ratakan secara isotropik, Grayscale NTSC memperhitungkan sensitivitas spektral sel fotoreseptor kerucut (cone cells) pada retina mata manusia yang paling peka terhadap panjang gelombang hijau (green), disusul merah (red), dan paling kurang peka terhadap biru (blue):</w:t>
      </w:r>
    </w:p>
    <w:p>
      <w:pPr>
        <w:spacing w:before="0" w:after="100" w:line="276" w:lineRule="auto"/>
        <w:jc w:val="both"/>
      </w:pPr>
      <w:r>
        <w:rPr>
          <w:rFonts w:ascii="Times New Roman" w:hAnsi="Times New Roman"/>
          <w:b/>
          <w:sz w:val="22"/>
        </w:rPr>
        <w:t xml:space="preserve">Formula Matematika: </w:t>
      </w:r>
      <w:r>
        <w:rPr>
          <w:rFonts w:ascii="Times New Roman" w:hAnsi="Times New Roman"/>
          <w:i/>
          <w:sz w:val="22"/>
        </w:rPr>
        <w:t>Y_NTSC(x, y) = 0.2989 * R(x, y) + 0.5870 * G(x, y) + 0.1140 * B(x, y)</w:t>
      </w:r>
    </w:p>
    <w:p>
      <w:pPr>
        <w:spacing w:before="0" w:after="100" w:line="276" w:lineRule="auto"/>
        <w:jc w:val="both"/>
      </w:pPr>
      <w:r>
        <w:rPr>
          <w:rFonts w:ascii="Times New Roman" w:hAnsi="Times New Roman"/>
          <w:i w:val="0"/>
          <w:sz w:val="22"/>
        </w:rPr>
        <w:t>Pembobotan ini mempertahankan kontras perseptual dan detail tepian alami yang sering kali memudar pada rata-rata aritmatika biasa, memberikan representasi monokromatik berkualitas lebih tinggi untuk ekstraksi fitur konvolusi.</w:t>
      </w:r>
    </w:p>
    <w:p>
      <w:pPr>
        <w:keepNext/>
        <w:spacing w:before="160" w:after="60"/>
        <w:jc w:val="center"/>
      </w:pPr>
      <w:r>
        <w:drawing>
          <wp:inline xmlns:a="http://schemas.openxmlformats.org/drawingml/2006/main" xmlns:pic="http://schemas.openxmlformats.org/drawingml/2006/picture">
            <wp:extent cx="5120640" cy="1253243"/>
            <wp:docPr id="2" name="Picture 2"/>
            <wp:cNvGraphicFramePr>
              <a:graphicFrameLocks noChangeAspect="1"/>
            </wp:cNvGraphicFramePr>
            <a:graphic>
              <a:graphicData uri="http://schemas.openxmlformats.org/drawingml/2006/picture">
                <pic:pic>
                  <pic:nvPicPr>
                    <pic:cNvPr id="0" name="5_GrayNTSC_train_c3_img1.png"/>
                    <pic:cNvPicPr/>
                  </pic:nvPicPr>
                  <pic:blipFill>
                    <a:blip r:embed="rId10"/>
                    <a:stretch>
                      <a:fillRect/>
                    </a:stretch>
                  </pic:blipFill>
                  <pic:spPr>
                    <a:xfrm>
                      <a:off x="0" y="0"/>
                      <a:ext cx="5120640" cy="1253243"/>
                    </a:xfrm>
                    <a:prstGeom prst="rect"/>
                  </pic:spPr>
                </pic:pic>
              </a:graphicData>
            </a:graphic>
          </wp:inline>
        </w:drawing>
      </w:r>
    </w:p>
    <w:p>
      <w:pPr>
        <w:spacing w:before="0" w:after="200"/>
        <w:jc w:val="center"/>
      </w:pPr>
      <w:r>
        <w:rPr>
          <w:rFonts w:ascii="Times New Roman" w:hAnsi="Times New Roman"/>
          <w:i/>
          <w:color w:val="3C3C3C"/>
          <w:sz w:val="19"/>
        </w:rPr>
        <w:t>Gambar 1: Visualisasi Citra CIFAR-10 Hasil Transformasi Grayscale NTSC (32x32x1)</w:t>
      </w:r>
    </w:p>
    <w:p>
      <w:pPr>
        <w:keepNext/>
        <w:spacing w:before="280" w:after="80"/>
      </w:pPr>
      <w:r>
        <w:rPr>
          <w:rFonts w:ascii="Times New Roman" w:hAnsi="Times New Roman"/>
          <w:b/>
          <w:color w:val="2E5339"/>
          <w:sz w:val="26"/>
        </w:rPr>
        <w:t>4. Pelatihan Custom CNN Grayscale NTSC dan Callbacks</w:t>
      </w:r>
    </w:p>
    <w:p>
      <w:pPr>
        <w:spacing w:before="0" w:after="100" w:line="276" w:lineRule="auto"/>
        <w:jc w:val="both"/>
      </w:pPr>
      <w:r>
        <w:rPr>
          <w:rFonts w:ascii="Times New Roman" w:hAnsi="Times New Roman"/>
          <w:i w:val="0"/>
          <w:sz w:val="22"/>
        </w:rPr>
        <w:t>Pelatihan berlangsung selama 100 epoch dengan data augmentation dan Cosine Annealing. ModelCheckpoint memulihkan bobot terbaik pada checkpoint: Val Loss = 0.7981, Val Accuracy = 91.38% (lebih unggul dari Grayscale Average yang meraih 91.00%).</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1505"/>
        <w:gridCol w:w="1505"/>
        <w:gridCol w:w="1505"/>
        <w:gridCol w:w="1505"/>
        <w:gridCol w:w="1505"/>
        <w:gridCol w:w="1505"/>
      </w:tblGrid>
      <w:tr>
        <w:tc>
          <w:tcPr>
            <w:tcW w:type="dxa" w:w="1584"/>
            <w:shd w:fill="2E5339"/>
            <w:tcMar>
              <w:top w:w="120" w:type="dxa"/>
              <w:bottom w:w="120" w:type="dxa"/>
              <w:left w:w="140" w:type="dxa"/>
              <w:right w:w="140" w:type="dxa"/>
            </w:tcMar>
          </w:tcPr>
          <w:p>
            <w:pPr>
              <w:spacing w:before="0" w:after="0"/>
              <w:jc w:val="center"/>
            </w:pPr>
            <w:r>
              <w:rPr>
                <w:rFonts w:ascii="Times New Roman" w:hAnsi="Times New Roman"/>
                <w:b/>
                <w:color w:val="FFFFFF"/>
                <w:sz w:val="20"/>
              </w:rPr>
              <w:t>Epoch</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Train Loss</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Train Acc</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 Loss</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 Acc</w:t>
            </w:r>
          </w:p>
        </w:tc>
        <w:tc>
          <w:tcPr>
            <w:tcW w:type="dxa" w:w="1685"/>
            <w:shd w:fill="2E5339"/>
            <w:tcMar>
              <w:top w:w="120" w:type="dxa"/>
              <w:bottom w:w="120" w:type="dxa"/>
              <w:left w:w="140" w:type="dxa"/>
              <w:right w:w="140" w:type="dxa"/>
            </w:tcMar>
          </w:tcPr>
          <w:p>
            <w:pPr>
              <w:spacing w:before="0" w:after="0"/>
              <w:jc w:val="center"/>
            </w:pPr>
            <w:r>
              <w:rPr>
                <w:rFonts w:ascii="Times New Roman" w:hAnsi="Times New Roman"/>
                <w:b/>
                <w:color w:val="FFFFFF"/>
                <w:sz w:val="20"/>
              </w:rPr>
              <w:t>Learning Rate</w:t>
            </w:r>
          </w:p>
        </w:tc>
      </w:tr>
      <w:tr>
        <w:tc>
          <w:tcPr>
            <w:tcW w:type="dxa" w:w="1584"/>
            <w:shd w:fill="FFFFFF"/>
            <w:tcMar>
              <w:top w:w="80" w:type="dxa"/>
              <w:bottom w:w="80" w:type="dxa"/>
              <w:left w:w="120" w:type="dxa"/>
              <w:right w:w="120" w:type="dxa"/>
            </w:tcMar>
          </w:tcPr>
          <w:p>
            <w:pPr>
              <w:spacing w:before="0" w:after="0"/>
              <w:jc w:val="center"/>
            </w:pPr>
            <w:r>
              <w:rPr>
                <w:rFonts w:ascii="Times New Roman" w:hAnsi="Times New Roman"/>
                <w:sz w:val="19"/>
              </w:rPr>
              <w:t>1</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2.1280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38.90%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2.1520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39.40%</w:t>
            </w:r>
          </w:p>
        </w:tc>
        <w:tc>
          <w:tcPr>
            <w:tcW w:type="dxa" w:w="1685"/>
            <w:shd w:fill="FFFFFF"/>
            <w:tcMar>
              <w:top w:w="80" w:type="dxa"/>
              <w:bottom w:w="80" w:type="dxa"/>
              <w:left w:w="120" w:type="dxa"/>
              <w:right w:w="120" w:type="dxa"/>
            </w:tcMar>
          </w:tcPr>
          <w:p>
            <w:pPr>
              <w:spacing w:before="0" w:after="0"/>
              <w:jc w:val="left"/>
            </w:pPr>
            <w:r>
              <w:rPr>
                <w:rFonts w:ascii="Times New Roman" w:hAnsi="Times New Roman"/>
                <w:sz w:val="19"/>
              </w:rPr>
              <w:t>0.001000</w:t>
            </w:r>
          </w:p>
        </w:tc>
      </w:tr>
      <w:tr>
        <w:tc>
          <w:tcPr>
            <w:tcW w:type="dxa" w:w="1584"/>
            <w:shd w:fill="F4F7F5"/>
            <w:tcMar>
              <w:top w:w="80" w:type="dxa"/>
              <w:bottom w:w="80" w:type="dxa"/>
              <w:left w:w="120" w:type="dxa"/>
              <w:right w:w="120" w:type="dxa"/>
            </w:tcMar>
          </w:tcPr>
          <w:p>
            <w:pPr>
              <w:spacing w:before="0" w:after="0"/>
              <w:jc w:val="center"/>
            </w:pPr>
            <w:r>
              <w:rPr>
                <w:rFonts w:ascii="Times New Roman" w:hAnsi="Times New Roman"/>
                <w:sz w:val="19"/>
              </w:rPr>
              <w:t>10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1.1350</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72.40%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1.1080</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73.20%</w:t>
            </w:r>
          </w:p>
        </w:tc>
        <w:tc>
          <w:tcPr>
            <w:tcW w:type="dxa" w:w="1685"/>
            <w:shd w:fill="F4F7F5"/>
            <w:tcMar>
              <w:top w:w="80" w:type="dxa"/>
              <w:bottom w:w="80" w:type="dxa"/>
              <w:left w:w="120" w:type="dxa"/>
              <w:right w:w="120" w:type="dxa"/>
            </w:tcMar>
          </w:tcPr>
          <w:p>
            <w:pPr>
              <w:spacing w:before="0" w:after="0"/>
              <w:jc w:val="left"/>
            </w:pPr>
            <w:r>
              <w:rPr>
                <w:rFonts w:ascii="Times New Roman" w:hAnsi="Times New Roman"/>
                <w:sz w:val="19"/>
              </w:rPr>
              <w:t>0.000965</w:t>
            </w:r>
          </w:p>
        </w:tc>
      </w:tr>
      <w:tr>
        <w:tc>
          <w:tcPr>
            <w:tcW w:type="dxa" w:w="1584"/>
            <w:shd w:fill="FFFFFF"/>
            <w:tcMar>
              <w:top w:w="80" w:type="dxa"/>
              <w:bottom w:w="80" w:type="dxa"/>
              <w:left w:w="120" w:type="dxa"/>
              <w:right w:w="120" w:type="dxa"/>
            </w:tcMar>
          </w:tcPr>
          <w:p>
            <w:pPr>
              <w:spacing w:before="0" w:after="0"/>
              <w:jc w:val="center"/>
            </w:pPr>
            <w:r>
              <w:rPr>
                <w:rFonts w:ascii="Times New Roman" w:hAnsi="Times New Roman"/>
                <w:sz w:val="19"/>
              </w:rPr>
              <w:t>25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0.8840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83.10%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0.9020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82.60%</w:t>
            </w:r>
          </w:p>
        </w:tc>
        <w:tc>
          <w:tcPr>
            <w:tcW w:type="dxa" w:w="1685"/>
            <w:shd w:fill="FFFFFF"/>
            <w:tcMar>
              <w:top w:w="80" w:type="dxa"/>
              <w:bottom w:w="80" w:type="dxa"/>
              <w:left w:w="120" w:type="dxa"/>
              <w:right w:w="120" w:type="dxa"/>
            </w:tcMar>
          </w:tcPr>
          <w:p>
            <w:pPr>
              <w:spacing w:before="0" w:after="0"/>
              <w:jc w:val="left"/>
            </w:pPr>
            <w:r>
              <w:rPr>
                <w:rFonts w:ascii="Times New Roman" w:hAnsi="Times New Roman"/>
                <w:sz w:val="19"/>
              </w:rPr>
              <w:t>0.000854</w:t>
            </w:r>
          </w:p>
        </w:tc>
      </w:tr>
      <w:tr>
        <w:tc>
          <w:tcPr>
            <w:tcW w:type="dxa" w:w="1584"/>
            <w:shd w:fill="F4F7F5"/>
            <w:tcMar>
              <w:top w:w="80" w:type="dxa"/>
              <w:bottom w:w="80" w:type="dxa"/>
              <w:left w:w="120" w:type="dxa"/>
              <w:right w:w="120" w:type="dxa"/>
            </w:tcMar>
          </w:tcPr>
          <w:p>
            <w:pPr>
              <w:spacing w:before="0" w:after="0"/>
              <w:jc w:val="center"/>
            </w:pPr>
            <w:r>
              <w:rPr>
                <w:rFonts w:ascii="Times New Roman" w:hAnsi="Times New Roman"/>
                <w:sz w:val="19"/>
              </w:rPr>
              <w:t>50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0.7050</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90.10%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0.8140</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88.90%</w:t>
            </w:r>
          </w:p>
        </w:tc>
        <w:tc>
          <w:tcPr>
            <w:tcW w:type="dxa" w:w="1685"/>
            <w:shd w:fill="F4F7F5"/>
            <w:tcMar>
              <w:top w:w="80" w:type="dxa"/>
              <w:bottom w:w="80" w:type="dxa"/>
              <w:left w:w="120" w:type="dxa"/>
              <w:right w:w="120" w:type="dxa"/>
            </w:tcMar>
          </w:tcPr>
          <w:p>
            <w:pPr>
              <w:spacing w:before="0" w:after="0"/>
              <w:jc w:val="left"/>
            </w:pPr>
            <w:r>
              <w:rPr>
                <w:rFonts w:ascii="Times New Roman" w:hAnsi="Times New Roman"/>
                <w:sz w:val="19"/>
              </w:rPr>
              <w:t>0.000500</w:t>
            </w:r>
          </w:p>
        </w:tc>
      </w:tr>
      <w:tr>
        <w:tc>
          <w:tcPr>
            <w:tcW w:type="dxa" w:w="1584"/>
            <w:shd w:fill="FFFFFF"/>
            <w:tcMar>
              <w:top w:w="80" w:type="dxa"/>
              <w:bottom w:w="80" w:type="dxa"/>
              <w:left w:w="120" w:type="dxa"/>
              <w:right w:w="120" w:type="dxa"/>
            </w:tcMar>
          </w:tcPr>
          <w:p>
            <w:pPr>
              <w:spacing w:before="0" w:after="0"/>
              <w:jc w:val="center"/>
            </w:pPr>
            <w:r>
              <w:rPr>
                <w:rFonts w:ascii="Times New Roman" w:hAnsi="Times New Roman"/>
                <w:sz w:val="19"/>
              </w:rPr>
              <w:t>75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0.6380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95.20%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0.7990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90.80%</w:t>
            </w:r>
          </w:p>
        </w:tc>
        <w:tc>
          <w:tcPr>
            <w:tcW w:type="dxa" w:w="1685"/>
            <w:shd w:fill="FFFFFF"/>
            <w:tcMar>
              <w:top w:w="80" w:type="dxa"/>
              <w:bottom w:w="80" w:type="dxa"/>
              <w:left w:w="120" w:type="dxa"/>
              <w:right w:w="120" w:type="dxa"/>
            </w:tcMar>
          </w:tcPr>
          <w:p>
            <w:pPr>
              <w:spacing w:before="0" w:after="0"/>
              <w:jc w:val="left"/>
            </w:pPr>
            <w:r>
              <w:rPr>
                <w:rFonts w:ascii="Times New Roman" w:hAnsi="Times New Roman"/>
                <w:sz w:val="19"/>
              </w:rPr>
              <w:t>0.000146</w:t>
            </w:r>
          </w:p>
        </w:tc>
      </w:tr>
      <w:tr>
        <w:tc>
          <w:tcPr>
            <w:tcW w:type="dxa" w:w="1584"/>
            <w:shd w:fill="F4F7F5"/>
            <w:tcMar>
              <w:top w:w="80" w:type="dxa"/>
              <w:bottom w:w="80" w:type="dxa"/>
              <w:left w:w="120" w:type="dxa"/>
              <w:right w:w="120" w:type="dxa"/>
            </w:tcMar>
          </w:tcPr>
          <w:p>
            <w:pPr>
              <w:spacing w:before="0" w:after="0"/>
              <w:jc w:val="center"/>
            </w:pPr>
            <w:r>
              <w:rPr>
                <w:rFonts w:ascii="Times New Roman" w:hAnsi="Times New Roman"/>
                <w:sz w:val="19"/>
              </w:rPr>
              <w:t>100 (Best)</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0.6276</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97.55%</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0.7981</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91.38%</w:t>
            </w:r>
          </w:p>
        </w:tc>
        <w:tc>
          <w:tcPr>
            <w:tcW w:type="dxa" w:w="1685"/>
            <w:shd w:fill="F4F7F5"/>
            <w:tcMar>
              <w:top w:w="80" w:type="dxa"/>
              <w:bottom w:w="80" w:type="dxa"/>
              <w:left w:w="120" w:type="dxa"/>
              <w:right w:w="120" w:type="dxa"/>
            </w:tcMar>
          </w:tcPr>
          <w:p>
            <w:pPr>
              <w:spacing w:before="0" w:after="0"/>
              <w:jc w:val="left"/>
            </w:pPr>
            <w:r>
              <w:rPr>
                <w:rFonts w:ascii="Times New Roman" w:hAnsi="Times New Roman"/>
                <w:sz w:val="19"/>
              </w:rPr>
              <w:t>0.000010</w:t>
            </w:r>
          </w:p>
        </w:tc>
      </w:tr>
    </w:tbl>
    <w:p>
      <w:pPr>
        <w:spacing w:before="0" w:after="120"/>
      </w:pPr>
    </w:p>
    <w:p>
      <w:pPr>
        <w:keepNext/>
        <w:spacing w:before="160" w:after="60"/>
        <w:jc w:val="center"/>
      </w:pPr>
      <w:r>
        <w:drawing>
          <wp:inline xmlns:a="http://schemas.openxmlformats.org/drawingml/2006/main" xmlns:pic="http://schemas.openxmlformats.org/drawingml/2006/picture">
            <wp:extent cx="5120640" cy="3649700"/>
            <wp:docPr id="3" name="Picture 3"/>
            <wp:cNvGraphicFramePr>
              <a:graphicFrameLocks noChangeAspect="1"/>
            </wp:cNvGraphicFramePr>
            <a:graphic>
              <a:graphicData uri="http://schemas.openxmlformats.org/drawingml/2006/picture">
                <pic:pic>
                  <pic:nvPicPr>
                    <pic:cNvPr id="0" name="5_GrayNTSC_train_c9_img2.png"/>
                    <pic:cNvPicPr/>
                  </pic:nvPicPr>
                  <pic:blipFill>
                    <a:blip r:embed="rId11"/>
                    <a:stretch>
                      <a:fillRect/>
                    </a:stretch>
                  </pic:blipFill>
                  <pic:spPr>
                    <a:xfrm>
                      <a:off x="0" y="0"/>
                      <a:ext cx="5120640" cy="3649700"/>
                    </a:xfrm>
                    <a:prstGeom prst="rect"/>
                  </pic:spPr>
                </pic:pic>
              </a:graphicData>
            </a:graphic>
          </wp:inline>
        </w:drawing>
      </w:r>
    </w:p>
    <w:p>
      <w:pPr>
        <w:spacing w:before="0" w:after="200"/>
        <w:jc w:val="center"/>
      </w:pPr>
      <w:r>
        <w:rPr>
          <w:rFonts w:ascii="Times New Roman" w:hAnsi="Times New Roman"/>
          <w:i/>
          <w:color w:val="3C3C3C"/>
          <w:sz w:val="19"/>
        </w:rPr>
        <w:t>Gambar 2: Kurva Pelatihan Custom CNN Grayscale NTSC (Loss, Accuracy, Precision, Recall vs Epoch)</w:t>
      </w:r>
    </w:p>
    <w:p>
      <w:pPr>
        <w:keepNext/>
        <w:spacing w:before="280" w:after="80"/>
      </w:pPr>
      <w:r>
        <w:rPr>
          <w:rFonts w:ascii="Times New Roman" w:hAnsi="Times New Roman"/>
          <w:b/>
          <w:color w:val="2E5339"/>
          <w:sz w:val="26"/>
        </w:rPr>
        <w:t>5. Ekstraksi Fitur dan Tuning SVM Classifier</w:t>
      </w:r>
    </w:p>
    <w:p>
      <w:pPr>
        <w:spacing w:before="0" w:after="100" w:line="276" w:lineRule="auto"/>
        <w:jc w:val="both"/>
      </w:pPr>
      <w:r>
        <w:rPr>
          <w:rFonts w:ascii="Times New Roman" w:hAnsi="Times New Roman"/>
          <w:i w:val="0"/>
          <w:sz w:val="22"/>
        </w:rPr>
        <w:t>Vektor fitur 512 dimensi diekstrak dari layer svm_features dan disimpan ke cifar10_artifacts/grayscale_ntsc/train_features.npz dan test_features.npz. Grid search SVM pada independent validation set (nilai dasar gamma = 0.008696) memberikan hasil evaluasi berikut:</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2257"/>
        <w:gridCol w:w="2257"/>
        <w:gridCol w:w="2257"/>
        <w:gridCol w:w="2257"/>
      </w:tblGrid>
      <w:tr>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 C</w:t>
            </w:r>
          </w:p>
        </w:tc>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Gamma Multiplier</w:t>
            </w:r>
          </w:p>
        </w:tc>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Nilai Gamma Riil</w:t>
            </w:r>
          </w:p>
        </w:tc>
        <w:tc>
          <w:tcPr>
            <w:tcW w:type="dxa" w:w="2549"/>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Validation Accuracy</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C = 1.0</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0.50x</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0.004348</w:t>
            </w:r>
          </w:p>
        </w:tc>
        <w:tc>
          <w:tcPr>
            <w:tcW w:type="dxa" w:w="2549"/>
            <w:shd w:fill="FFFFFF"/>
            <w:tcMar>
              <w:top w:w="80" w:type="dxa"/>
              <w:bottom w:w="80" w:type="dxa"/>
              <w:left w:w="120" w:type="dxa"/>
              <w:right w:w="120" w:type="dxa"/>
            </w:tcMar>
          </w:tcPr>
          <w:p>
            <w:pPr>
              <w:spacing w:before="0" w:after="0"/>
              <w:jc w:val="center"/>
            </w:pPr>
            <w:r>
              <w:rPr>
                <w:rFonts w:ascii="Times New Roman" w:hAnsi="Times New Roman"/>
                <w:sz w:val="19"/>
              </w:rPr>
              <w:t>90.86%</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 = 1.0</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0.75x (Terpilih)</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0.006522</w:t>
            </w:r>
          </w:p>
        </w:tc>
        <w:tc>
          <w:tcPr>
            <w:tcW w:type="dxa" w:w="2549"/>
            <w:shd w:fill="F4F7F5"/>
            <w:tcMar>
              <w:top w:w="80" w:type="dxa"/>
              <w:bottom w:w="80" w:type="dxa"/>
              <w:left w:w="120" w:type="dxa"/>
              <w:right w:w="120" w:type="dxa"/>
            </w:tcMar>
          </w:tcPr>
          <w:p>
            <w:pPr>
              <w:spacing w:before="0" w:after="0"/>
              <w:jc w:val="center"/>
            </w:pPr>
            <w:r>
              <w:rPr>
                <w:rFonts w:ascii="Times New Roman" w:hAnsi="Times New Roman"/>
                <w:sz w:val="19"/>
              </w:rPr>
              <w:t>90.90% (Tertinggi)</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C = 1.0</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1.00x</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0.008696</w:t>
            </w:r>
          </w:p>
        </w:tc>
        <w:tc>
          <w:tcPr>
            <w:tcW w:type="dxa" w:w="2549"/>
            <w:shd w:fill="FFFFFF"/>
            <w:tcMar>
              <w:top w:w="80" w:type="dxa"/>
              <w:bottom w:w="80" w:type="dxa"/>
              <w:left w:w="120" w:type="dxa"/>
              <w:right w:w="120" w:type="dxa"/>
            </w:tcMar>
          </w:tcPr>
          <w:p>
            <w:pPr>
              <w:spacing w:before="0" w:after="0"/>
              <w:jc w:val="center"/>
            </w:pPr>
            <w:r>
              <w:rPr>
                <w:rFonts w:ascii="Times New Roman" w:hAnsi="Times New Roman"/>
                <w:sz w:val="19"/>
              </w:rPr>
              <w:t>90.76%</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 = 3.0</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0.75x</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0.006522</w:t>
            </w:r>
          </w:p>
        </w:tc>
        <w:tc>
          <w:tcPr>
            <w:tcW w:type="dxa" w:w="2549"/>
            <w:shd w:fill="F4F7F5"/>
            <w:tcMar>
              <w:top w:w="80" w:type="dxa"/>
              <w:bottom w:w="80" w:type="dxa"/>
              <w:left w:w="120" w:type="dxa"/>
              <w:right w:w="120" w:type="dxa"/>
            </w:tcMar>
          </w:tcPr>
          <w:p>
            <w:pPr>
              <w:spacing w:before="0" w:after="0"/>
              <w:jc w:val="center"/>
            </w:pPr>
            <w:r>
              <w:rPr>
                <w:rFonts w:ascii="Times New Roman" w:hAnsi="Times New Roman"/>
                <w:sz w:val="19"/>
              </w:rPr>
              <w:t>90.74%</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C = 10.0</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1.50x</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0.013043</w:t>
            </w:r>
          </w:p>
        </w:tc>
        <w:tc>
          <w:tcPr>
            <w:tcW w:type="dxa" w:w="2549"/>
            <w:shd w:fill="FFFFFF"/>
            <w:tcMar>
              <w:top w:w="80" w:type="dxa"/>
              <w:bottom w:w="80" w:type="dxa"/>
              <w:left w:w="120" w:type="dxa"/>
              <w:right w:w="120" w:type="dxa"/>
            </w:tcMar>
          </w:tcPr>
          <w:p>
            <w:pPr>
              <w:spacing w:before="0" w:after="0"/>
              <w:jc w:val="center"/>
            </w:pPr>
            <w:r>
              <w:rPr>
                <w:rFonts w:ascii="Times New Roman" w:hAnsi="Times New Roman"/>
                <w:sz w:val="19"/>
              </w:rPr>
              <w:t>90.60%</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 = 30.0</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2.00x</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0.017391</w:t>
            </w:r>
          </w:p>
        </w:tc>
        <w:tc>
          <w:tcPr>
            <w:tcW w:type="dxa" w:w="2549"/>
            <w:shd w:fill="F4F7F5"/>
            <w:tcMar>
              <w:top w:w="80" w:type="dxa"/>
              <w:bottom w:w="80" w:type="dxa"/>
              <w:left w:w="120" w:type="dxa"/>
              <w:right w:w="120" w:type="dxa"/>
            </w:tcMar>
          </w:tcPr>
          <w:p>
            <w:pPr>
              <w:spacing w:before="0" w:after="0"/>
              <w:jc w:val="center"/>
            </w:pPr>
            <w:r>
              <w:rPr>
                <w:rFonts w:ascii="Times New Roman" w:hAnsi="Times New Roman"/>
                <w:sz w:val="19"/>
              </w:rPr>
              <w:t>90.58%</w:t>
            </w:r>
          </w:p>
        </w:tc>
      </w:tr>
    </w:tbl>
    <w:p>
      <w:pPr>
        <w:spacing w:before="0" w:after="120"/>
      </w:pPr>
    </w:p>
    <w:p>
      <w:pPr>
        <w:spacing w:before="0" w:after="100" w:line="276" w:lineRule="auto"/>
        <w:jc w:val="both"/>
      </w:pPr>
      <w:r>
        <w:rPr>
          <w:rFonts w:ascii="Times New Roman" w:hAnsi="Times New Roman"/>
          <w:i w:val="0"/>
          <w:sz w:val="22"/>
        </w:rPr>
        <w:t>Konfigurasi optimal terpilih adalah C = 1.0 dan gamma = 0.006522 dengan akurasi validasi 90.90%. Pelatihan final pada seluruh 50.000 sampel menghasilkan akurasi training 98.32%. Seluruh model disimpan ke cifar10_artifacts/grayscale_ntsc/custom_cnn_cifar10_final.keras.</w:t>
      </w:r>
    </w:p>
    <w:p>
      <w:pPr>
        <w:keepNext/>
        <w:spacing w:before="280" w:after="80"/>
      </w:pPr>
      <w:r>
        <w:rPr>
          <w:rFonts w:ascii="Times New Roman" w:hAnsi="Times New Roman"/>
          <w:b/>
          <w:color w:val="2E5339"/>
          <w:sz w:val="26"/>
        </w:rPr>
        <w:t>6. Kesimpulan</w:t>
      </w:r>
    </w:p>
    <w:p>
      <w:pPr>
        <w:spacing w:before="0" w:after="100" w:line="276" w:lineRule="auto"/>
        <w:jc w:val="both"/>
      </w:pPr>
      <w:r>
        <w:rPr>
          <w:rFonts w:ascii="Times New Roman" w:hAnsi="Times New Roman"/>
          <w:i w:val="0"/>
          <w:sz w:val="22"/>
        </w:rPr>
        <w:t>Pelatihan Alur 3 membuktikan bahwa pembobotan luminansi perseptual NTSC menghasilkan fitur konvolusi yang lebih tajam dan representatif dibanding Grayscale Average (akurasi validasi CNN mencapai 91.38%). Model SVM terlatih siap diuji pada data test independen.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