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2E5339"/>
          <w:sz w:val="28"/>
        </w:rPr>
        <w:t>LAPORAN PRAKTIKUM PERTEMUAN 7</w:t>
        <w:br/>
        <w:t>ALUR 3: PENGUJIAN &amp; EVALUASI KOMPARATIF CNN VS SVM PADA GRAYSCALE NTSC</w:t>
      </w:r>
    </w:p>
    <w:p>
      <w:pPr>
        <w:spacing w:before="80" w:after="280"/>
        <w:jc w:val="center"/>
      </w:pPr>
      <w:r>
        <w:rPr>
          <w:rFonts w:ascii="Times New Roman" w:hAnsi="Times New Roman"/>
          <w:b/>
          <w:sz w:val="24"/>
        </w:rPr>
        <w:t>Pengujian Independen pada 10.000 Test Set CIFAR-10 Perceptual Luminance (Y = 0.2989R + 0.5870G + 0.1140B)</w:t>
        <w:br/>
        <w:t>(Notebook: 6_GrayNTSC_test.ipynb)</w:t>
      </w:r>
    </w:p>
    <w:p>
      <w:pPr>
        <w:spacing w:before="160" w:after="480"/>
        <w:jc w:val="center"/>
      </w:pPr>
      <w:r>
        <w:rPr>
          <w:rFonts w:ascii="Times New Roman" w:hAnsi="Times New Roman"/>
          <w:sz w:val="24"/>
        </w:rPr>
        <w:t>Mata Kuliah: Big Data Analytic</w:t>
        <w:br/>
        <w:t>Dosen Pengampu: Bayu Adi Nugroho, Ph.D</w:t>
      </w:r>
    </w:p>
    <w:p>
      <w:pPr>
        <w:spacing w:before="200" w:after="560"/>
        <w:jc w:val="center"/>
      </w:pPr>
      <w:r>
        <w:drawing>
          <wp:inline xmlns:a="http://schemas.openxmlformats.org/drawingml/2006/main" xmlns:pic="http://schemas.openxmlformats.org/drawingml/2006/picture">
            <wp:extent cx="2011680" cy="1563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n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563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jc w:val="center"/>
      </w:pPr>
      <w:r>
        <w:rPr>
          <w:rFonts w:ascii="Times New Roman" w:hAnsi="Times New Roman"/>
          <w:b/>
          <w:sz w:val="24"/>
        </w:rPr>
        <w:t>Disusun Oleh:</w:t>
      </w:r>
    </w:p>
    <w:p>
      <w:pPr>
        <w:spacing w:before="0" w:after="640"/>
        <w:jc w:val="center"/>
      </w:pPr>
      <w:r>
        <w:rPr>
          <w:rFonts w:ascii="Times New Roman" w:hAnsi="Times New Roman"/>
          <w:b/>
          <w:sz w:val="24"/>
        </w:rPr>
        <w:t>Daffa Danendra Fairuzza – 09020624026</w:t>
      </w:r>
    </w:p>
    <w:p>
      <w:pPr>
        <w:spacing w:before="400" w:after="0"/>
        <w:jc w:val="center"/>
      </w:pPr>
      <w:r>
        <w:rPr>
          <w:rFonts w:ascii="Times New Roman" w:hAnsi="Times New Roman"/>
          <w:b/>
          <w:sz w:val="24"/>
        </w:rPr>
        <w:t>PROGRAM STUDI SISTEM INFORMASI</w:t>
        <w:br/>
        <w:t>FAKULTAS SAINS DAN TEKNOLOGI</w:t>
        <w:br/>
        <w:t>UNIVERSITAS ISLAM NEGERI SUNAN AMPEL SURABAYA</w:t>
        <w:br/>
        <w:t>2026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BF2E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E5339"/>
              <w:top w:val="none"/>
              <w:bottom w:val="none"/>
              <w:right w:val="none"/>
            </w:tcBorders>
          </w:tcPr>
          <w:p>
            <w:pPr>
              <w:spacing w:before="0" w:after="0" w:line="276" w:lineRule="auto"/>
              <w:jc w:val="both"/>
            </w:pPr>
            <w:r>
              <w:rPr>
                <w:rFonts w:ascii="Times New Roman" w:hAnsi="Times New Roman"/>
                <w:b/>
                <w:color w:val="2E5339"/>
                <w:sz w:val="21"/>
              </w:rPr>
              <w:t xml:space="preserve">💡 EVALUASI UJI MURNI (INDEPENDENT TEST SET): </w:t>
            </w:r>
            <w:r>
              <w:rPr>
                <w:rFonts w:ascii="Times New Roman" w:hAnsi="Times New Roman"/>
                <w:sz w:val="21"/>
              </w:rPr>
              <w:t>Evaluasi dilakukan secara objektif pada 10.000 sampel data testing Grayscale NTSC murni tanpa manipulasi. Hasil menunjukkan performa klasifikasi yang sangat stabil dan konsisten pada domain luminansi fisiologis.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1. Identitas dan Lingkungan Pengujian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4514"/>
        <w:gridCol w:w="4514"/>
      </w:tblGrid>
      <w:tr>
        <w:tc>
          <w:tcPr>
            <w:tcW w:type="dxa" w:w="34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Parameter / Komponen</w:t>
            </w:r>
          </w:p>
        </w:tc>
        <w:tc>
          <w:tcPr>
            <w:tcW w:type="dxa" w:w="5573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Keterangan Spesifikasi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Nama Notebook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6_GrayNTSC_test.ipynb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Format Test Set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10.000 Citra Grayscale NTSC (32, 32, 1)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Model CNN yang Diuji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Custom Deep Residual CNN (custom_cnn_ntsc)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Model SVM yang Diuji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SVM RBF (C=1.0, gamma=0.006522) dari scaler.pkl &amp; svm_model.pkl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Dimensi Vektor Fitur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(10000, 512) dari layer svm_features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2. Hasil Evaluasi Custom CNN Grayscale NTSC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Pengujian inferensi CNN pada 10.000 sampel test menghasilkan Test Loss = 0.8127 dan Test Accuracy = 90.56% (Macro F1 = 90.51%):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304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Kelas Objek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757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airplane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0.9119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0.9164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automobile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0.9259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0.9750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0.9498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bird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0.8693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0.8701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cat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0.8525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0.7800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0.8146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deer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0.8830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0.8919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dog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0.8642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0.8530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0.8586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frog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0.8793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0.9470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0.9119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horse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0.9394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0.9422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ship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0.9544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0.9476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truck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0.9553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0.9400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0.9476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Akurasi / Rata-rata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0.9053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0.9056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0.9051 (Macro)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10000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42112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GrayNTSC_test_c5_im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1: Confusion Matrix Custom CNN pada Test Set Grayscale NTSC (Akurasi 90.56%)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3. Hasil Evaluasi SVM Classifier Grayscale NTSC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Inferensi SVM pada fitur terstandarisasi menghasilkan peningkatan akurasi menjadi Test Accuracy = 91.45% (Macro F1 = 91.46%):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304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Kelas Objek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757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airplane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0.9302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0.9330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0.9316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automobile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0.9436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0.9571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bird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0.8847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0.8750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0.8798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cat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0.8132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0.8270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0.8200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deer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0.8915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0.9040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0.8977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dog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0.8672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0.8620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0.8646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frog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0.9369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0.9360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0.9365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horse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0.9583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0.9430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0.9506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ship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0.9585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0.9460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0.9522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truck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0.9634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0.9480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0.9556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Akurasi / Rata-rata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0.9148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0.9145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0.9146 (Macro)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10000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42112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GrayNTSC_test_c11_im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2: Confusion Matrix SVM Classifier pada Test Set Grayscale NTSC (Akurasi 91.45%)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4. Perbandingan Komparatif CNN vs SVM (Grayscale NTSC)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Tabel berikut merangkum perbandingan performa langsung kedua model pada domain Grayscale NTSC: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880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Metrik Pengujian</w:t>
            </w:r>
          </w:p>
        </w:tc>
        <w:tc>
          <w:tcPr>
            <w:tcW w:type="dxa" w:w="201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CNN Grayscale NTSC</w:t>
            </w:r>
          </w:p>
        </w:tc>
        <w:tc>
          <w:tcPr>
            <w:tcW w:type="dxa" w:w="201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SVM Grayscale NTSC</w:t>
            </w:r>
          </w:p>
        </w:tc>
        <w:tc>
          <w:tcPr>
            <w:tcW w:type="dxa" w:w="2117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Selisih / Peningkatan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Test Accuracy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90.56%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91.45%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+0.89% (Unggul SVM)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Macro Precision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90.53%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91.48%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+0.95%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Macro Recall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90.56%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91.45%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+0.89%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Macro F1-Score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90.51%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91.46%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+0.95%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F1-Score Kelas 'airplane'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91.64%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93.16%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+1.52%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F1-Score Kelas 'ship'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94.76%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95.22%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+0.46%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F1-Score Kelas 'truck'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94.76%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95.56%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+0.80%</w:t>
            </w:r>
          </w:p>
        </w:tc>
      </w:tr>
    </w:tbl>
    <w:p>
      <w:pPr>
        <w:spacing w:before="0" w:after="120"/>
      </w:pP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Hasil ini menegaskan bahwa SVM secara konsisten mampu mendongkrak performa klasifikasi sebesar +0.89% pada fitur monokromatik NTSC, dengan peningkatan akurasi per kelas yang merata di seluruh kategori transportasi dan hewan.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5. Kesimpulan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Pengujian Alur 3 memvalidasi keunggulan representasi Grayscale NTSC yang menghasilkan akurasi CNN 90.56% dan akurasi SVM 91.45%. Model ini memberikan representasi perseptual yang saling melengkapi dengan model RGB dan Grayscale Average untuk tahap Feature Fusion berikutnya.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