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5339"/>
          <w:sz w:val="28"/>
        </w:rPr>
        <w:t>LAPORAN PRAKTIKUM PERTEMUAN 7</w:t>
        <w:br/>
        <w:t>ALUR 4: FEATURE ENGINEERING MULTI-DOMAIN CONCATENATIVE FUSION (1.536-D)</w:t>
      </w:r>
    </w:p>
    <w:p>
      <w:pPr>
        <w:spacing w:before="80" w:after="280"/>
        <w:jc w:val="center"/>
      </w:pPr>
      <w:r>
        <w:rPr>
          <w:rFonts w:ascii="Times New Roman" w:hAnsi="Times New Roman"/>
          <w:b/>
          <w:sz w:val="24"/>
        </w:rPr>
        <w:t>Penggabungan Fitur 3 Custom CNN (RGB + AVG + NTSC), Preprocessing Weighting &amp; Pelatihan SVM</w:t>
        <w:br/>
        <w:t>(Notebook: 7_Fusion_train.ipynb)</w:t>
      </w:r>
    </w:p>
    <w:p>
      <w:pPr>
        <w:spacing w:before="160" w:after="480"/>
        <w:jc w:val="center"/>
      </w:pPr>
      <w:r>
        <w:rPr>
          <w:rFonts w:ascii="Times New Roman" w:hAnsi="Times New Roman"/>
          <w:sz w:val="24"/>
        </w:rPr>
        <w:t>Mata Kuliah: Big Data Analytic</w:t>
        <w:br/>
        <w:t>Dosen Pengampu: Bayu Adi Nugroho, Ph.D</w:t>
      </w:r>
    </w:p>
    <w:p>
      <w:pPr>
        <w:spacing w:before="200" w:after="560"/>
        <w:jc w:val="center"/>
      </w:pPr>
      <w:r>
        <w:drawing>
          <wp:inline xmlns:a="http://schemas.openxmlformats.org/drawingml/2006/main" xmlns:pic="http://schemas.openxmlformats.org/drawingml/2006/picture">
            <wp:extent cx="2011680" cy="1563075"/>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2011680" cy="1563075"/>
                    </a:xfrm>
                    <a:prstGeom prst="rect"/>
                  </pic:spPr>
                </pic:pic>
              </a:graphicData>
            </a:graphic>
          </wp:inline>
        </w:drawing>
      </w:r>
    </w:p>
    <w:p>
      <w:pPr>
        <w:spacing w:before="280" w:after="80"/>
        <w:jc w:val="center"/>
      </w:pPr>
      <w:r>
        <w:rPr>
          <w:rFonts w:ascii="Times New Roman" w:hAnsi="Times New Roman"/>
          <w:b/>
          <w:sz w:val="24"/>
        </w:rPr>
        <w:t>Disusun Oleh:</w:t>
      </w:r>
    </w:p>
    <w:p>
      <w:pPr>
        <w:spacing w:before="0" w:after="640"/>
        <w:jc w:val="center"/>
      </w:pPr>
      <w:r>
        <w:rPr>
          <w:rFonts w:ascii="Times New Roman" w:hAnsi="Times New Roman"/>
          <w:b/>
          <w:sz w:val="24"/>
        </w:rPr>
        <w:t>Daffa Danendra Fairuzza – 09020624026</w:t>
      </w:r>
    </w:p>
    <w:p>
      <w:pPr>
        <w:spacing w:before="400" w:after="0"/>
        <w:jc w:val="center"/>
      </w:pPr>
      <w:r>
        <w:rPr>
          <w:rFonts w:ascii="Times New Roman" w:hAnsi="Times New Roman"/>
          <w:b/>
          <w:sz w:val="24"/>
        </w:rPr>
        <w:t>PROGRAM STUDI SISTEM INFORMASI</w:t>
        <w:br/>
        <w:t>FAKULTAS SAINS DAN TEKNOLOGI</w:t>
        <w:br/>
        <w:t>UNIVERSITAS ISLAM NEGERI SUNAN AMPEL SURABAYA</w:t>
        <w:br/>
        <w:t>2026</w:t>
      </w:r>
    </w:p>
    <w:p>
      <w:r>
        <w:br w:type="page"/>
      </w:r>
    </w:p>
    <w:tbl>
      <w:tblPr>
        <w:tblW w:type="auto" w:w="0"/>
        <w:jc w:val="center"/>
        <w:tblLayout w:type="fixed"/>
        <w:tblLook w:firstColumn="1" w:firstRow="1" w:lastColumn="0" w:lastRow="0" w:noHBand="0" w:noVBand="1" w:val="04A0"/>
      </w:tblPr>
      <w:tblGrid>
        <w:gridCol w:w="9029"/>
      </w:tblGrid>
      <w:tr>
        <w:tc>
          <w:tcPr>
            <w:tcW w:type="dxa" w:w="9029"/>
            <w:shd w:fill="EBF2EC"/>
            <w:tcMar>
              <w:top w:w="140" w:type="dxa"/>
              <w:bottom w:w="140" w:type="dxa"/>
              <w:left w:w="180" w:type="dxa"/>
              <w:right w:w="180" w:type="dxa"/>
            </w:tcMar>
            <w:tcBorders>
              <w:left w:val="single" w:sz="24" w:space="0" w:color="2E5339"/>
              <w:top w:val="none"/>
              <w:bottom w:val="none"/>
              <w:right w:val="none"/>
            </w:tcBorders>
          </w:tcPr>
          <w:p>
            <w:pPr>
              <w:spacing w:before="0" w:after="0" w:line="276" w:lineRule="auto"/>
              <w:jc w:val="both"/>
            </w:pPr>
            <w:r>
              <w:rPr>
                <w:rFonts w:ascii="Times New Roman" w:hAnsi="Times New Roman"/>
                <w:b/>
                <w:color w:val="2E5339"/>
                <w:sz w:val="21"/>
              </w:rPr>
              <w:t xml:space="preserve">💡 FEATURE ENGINEERING MULTIDOMAIN DARI 3 CUSTOM CNN MURNI: </w:t>
            </w:r>
            <w:r>
              <w:rPr>
                <w:rFonts w:ascii="Times New Roman" w:hAnsi="Times New Roman"/>
                <w:sz w:val="21"/>
              </w:rPr>
              <w:t>Tahap Feature Engineering ini tidak memerlukan pelatihan CNN baru, melainkan melakukan sinergi representasi fitur tingkat tinggi dari 3 Custom CNN murni yang telah dilatih sebelumnya (Alur 1, 2, dan 3). Seluruh 1.536 dimensi fitur berasal dari model yang dibangun from scratch tanpa bantuan pretrained backbone ImageNet.</w:t>
            </w:r>
          </w:p>
        </w:tc>
      </w:tr>
    </w:tbl>
    <w:p>
      <w:pPr>
        <w:spacing w:before="0" w:after="80"/>
      </w:pPr>
    </w:p>
    <w:p>
      <w:pPr>
        <w:keepNext/>
        <w:spacing w:before="280" w:after="80"/>
      </w:pPr>
      <w:r>
        <w:rPr>
          <w:rFonts w:ascii="Times New Roman" w:hAnsi="Times New Roman"/>
          <w:b/>
          <w:color w:val="2E5339"/>
          <w:sz w:val="26"/>
        </w:rPr>
        <w:t>1. Identitas dan Lingkungan Eksperimen</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4514"/>
        <w:gridCol w:w="4514"/>
      </w:tblGrid>
      <w:tr>
        <w:tc>
          <w:tcPr>
            <w:tcW w:type="dxa" w:w="3456"/>
            <w:shd w:fill="2E5339"/>
            <w:tcMar>
              <w:top w:w="120" w:type="dxa"/>
              <w:bottom w:w="120" w:type="dxa"/>
              <w:left w:w="140" w:type="dxa"/>
              <w:right w:w="140" w:type="dxa"/>
            </w:tcMar>
          </w:tcPr>
          <w:p>
            <w:pPr>
              <w:spacing w:before="0" w:after="0"/>
              <w:jc w:val="center"/>
            </w:pPr>
            <w:r>
              <w:rPr>
                <w:rFonts w:ascii="Times New Roman" w:hAnsi="Times New Roman"/>
                <w:b/>
                <w:color w:val="FFFFFF"/>
                <w:sz w:val="20"/>
              </w:rPr>
              <w:t>Parameter / Komponen</w:t>
            </w:r>
          </w:p>
        </w:tc>
        <w:tc>
          <w:tcPr>
            <w:tcW w:type="dxa" w:w="5573"/>
            <w:shd w:fill="2E5339"/>
            <w:tcMar>
              <w:top w:w="120" w:type="dxa"/>
              <w:bottom w:w="120" w:type="dxa"/>
              <w:left w:w="140" w:type="dxa"/>
              <w:right w:w="140" w:type="dxa"/>
            </w:tcMar>
          </w:tcPr>
          <w:p>
            <w:pPr>
              <w:spacing w:before="0" w:after="0"/>
              <w:jc w:val="center"/>
            </w:pPr>
            <w:r>
              <w:rPr>
                <w:rFonts w:ascii="Times New Roman" w:hAnsi="Times New Roman"/>
                <w:b/>
                <w:color w:val="FFFFFF"/>
                <w:sz w:val="20"/>
              </w:rPr>
              <w:t>Keterangan Spesifikasi</w:t>
            </w:r>
          </w:p>
        </w:tc>
      </w:tr>
      <w:tr>
        <w:tc>
          <w:tcPr>
            <w:tcW w:type="dxa" w:w="3456"/>
            <w:shd w:fill="FFFFFF"/>
            <w:tcMar>
              <w:top w:w="80" w:type="dxa"/>
              <w:bottom w:w="80" w:type="dxa"/>
              <w:left w:w="120" w:type="dxa"/>
              <w:right w:w="120" w:type="dxa"/>
            </w:tcMar>
          </w:tcPr>
          <w:p>
            <w:pPr>
              <w:spacing w:before="0" w:after="0"/>
              <w:jc w:val="left"/>
            </w:pPr>
            <w:r>
              <w:rPr>
                <w:rFonts w:ascii="Times New Roman" w:hAnsi="Times New Roman"/>
                <w:sz w:val="19"/>
              </w:rPr>
              <w:t>Nama Notebook</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7_Fusion_train.ipynb</w:t>
            </w:r>
          </w:p>
        </w:tc>
      </w:tr>
      <w:tr>
        <w:tc>
          <w:tcPr>
            <w:tcW w:type="dxa" w:w="3456"/>
            <w:shd w:fill="F4F7F5"/>
            <w:tcMar>
              <w:top w:w="80" w:type="dxa"/>
              <w:bottom w:w="80" w:type="dxa"/>
              <w:left w:w="120" w:type="dxa"/>
              <w:right w:w="120" w:type="dxa"/>
            </w:tcMar>
          </w:tcPr>
          <w:p>
            <w:pPr>
              <w:spacing w:before="0" w:after="0"/>
              <w:jc w:val="left"/>
            </w:pPr>
            <w:r>
              <w:rPr>
                <w:rFonts w:ascii="Times New Roman" w:hAnsi="Times New Roman"/>
                <w:sz w:val="19"/>
              </w:rPr>
              <w:t>Metode Feature Engineering</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Multi-Domain Concatenative Fusion: [RGB_512 || AVG_512 || NTSC_512]</w:t>
            </w:r>
          </w:p>
        </w:tc>
      </w:tr>
      <w:tr>
        <w:tc>
          <w:tcPr>
            <w:tcW w:type="dxa" w:w="3456"/>
            <w:shd w:fill="FFFFFF"/>
            <w:tcMar>
              <w:top w:w="80" w:type="dxa"/>
              <w:bottom w:w="80" w:type="dxa"/>
              <w:left w:w="120" w:type="dxa"/>
              <w:right w:w="120" w:type="dxa"/>
            </w:tcMar>
          </w:tcPr>
          <w:p>
            <w:pPr>
              <w:spacing w:before="0" w:after="0"/>
              <w:jc w:val="left"/>
            </w:pPr>
            <w:r>
              <w:rPr>
                <w:rFonts w:ascii="Times New Roman" w:hAnsi="Times New Roman"/>
                <w:sz w:val="19"/>
              </w:rPr>
              <w:t>Total Dimensi Fitur Gabungan</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1.536 Dimensi (512 + 512 + 512)</w:t>
            </w:r>
          </w:p>
        </w:tc>
      </w:tr>
      <w:tr>
        <w:tc>
          <w:tcPr>
            <w:tcW w:type="dxa" w:w="3456"/>
            <w:shd w:fill="F4F7F5"/>
            <w:tcMar>
              <w:top w:w="80" w:type="dxa"/>
              <w:bottom w:w="80" w:type="dxa"/>
              <w:left w:w="120" w:type="dxa"/>
              <w:right w:w="120" w:type="dxa"/>
            </w:tcMar>
          </w:tcPr>
          <w:p>
            <w:pPr>
              <w:spacing w:before="0" w:after="0"/>
              <w:jc w:val="left"/>
            </w:pPr>
            <w:r>
              <w:rPr>
                <w:rFonts w:ascii="Times New Roman" w:hAnsi="Times New Roman"/>
                <w:sz w:val="19"/>
              </w:rPr>
              <w:t>Jumlah Sampel Fitur</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50.000 Sampel Training &amp; 10.000 Sampel Testing (format .npz)</w:t>
            </w:r>
          </w:p>
        </w:tc>
      </w:tr>
      <w:tr>
        <w:tc>
          <w:tcPr>
            <w:tcW w:type="dxa" w:w="3456"/>
            <w:shd w:fill="FFFFFF"/>
            <w:tcMar>
              <w:top w:w="80" w:type="dxa"/>
              <w:bottom w:w="80" w:type="dxa"/>
              <w:left w:w="120" w:type="dxa"/>
              <w:right w:w="120" w:type="dxa"/>
            </w:tcMar>
          </w:tcPr>
          <w:p>
            <w:pPr>
              <w:spacing w:before="0" w:after="0"/>
              <w:jc w:val="left"/>
            </w:pPr>
            <w:r>
              <w:rPr>
                <w:rFonts w:ascii="Times New Roman" w:hAnsi="Times New Roman"/>
                <w:sz w:val="19"/>
              </w:rPr>
              <w:t>Partisi Training SVM</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40.000 Sampel Sub-Train, 5.000 Sampel Validation, 5.000 Sampel Independent Val</w:t>
            </w:r>
          </w:p>
        </w:tc>
      </w:tr>
      <w:tr>
        <w:tc>
          <w:tcPr>
            <w:tcW w:type="dxa" w:w="3456"/>
            <w:shd w:fill="F4F7F5"/>
            <w:tcMar>
              <w:top w:w="80" w:type="dxa"/>
              <w:bottom w:w="80" w:type="dxa"/>
              <w:left w:w="120" w:type="dxa"/>
              <w:right w:w="120" w:type="dxa"/>
            </w:tcMar>
          </w:tcPr>
          <w:p>
            <w:pPr>
              <w:spacing w:before="0" w:after="0"/>
              <w:jc w:val="left"/>
            </w:pPr>
            <w:r>
              <w:rPr>
                <w:rFonts w:ascii="Times New Roman" w:hAnsi="Times New Roman"/>
                <w:sz w:val="19"/>
              </w:rPr>
              <w:t>Model Preprocessing Terpilih</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Mode D+L2: Per-Domain StandardScaler + Weights (1.0, 0.7, 0.7) + L2 Normalization</w:t>
            </w:r>
          </w:p>
        </w:tc>
      </w:tr>
      <w:tr>
        <w:tc>
          <w:tcPr>
            <w:tcW w:type="dxa" w:w="3456"/>
            <w:shd w:fill="FFFFFF"/>
            <w:tcMar>
              <w:top w:w="80" w:type="dxa"/>
              <w:bottom w:w="80" w:type="dxa"/>
              <w:left w:w="120" w:type="dxa"/>
              <w:right w:w="120" w:type="dxa"/>
            </w:tcMar>
          </w:tcPr>
          <w:p>
            <w:pPr>
              <w:spacing w:before="0" w:after="0"/>
              <w:jc w:val="left"/>
            </w:pPr>
            <w:r>
              <w:rPr>
                <w:rFonts w:ascii="Times New Roman" w:hAnsi="Times New Roman"/>
                <w:sz w:val="19"/>
              </w:rPr>
              <w:t>Model Classifier</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Fused Consensus SVM Classifier (RBF Kernel + Cosine Linear)</w:t>
            </w:r>
          </w:p>
        </w:tc>
      </w:tr>
      <w:tr>
        <w:tc>
          <w:tcPr>
            <w:tcW w:type="dxa" w:w="3456"/>
            <w:shd w:fill="F4F7F5"/>
            <w:tcMar>
              <w:top w:w="80" w:type="dxa"/>
              <w:bottom w:w="80" w:type="dxa"/>
              <w:left w:w="120" w:type="dxa"/>
              <w:right w:w="120" w:type="dxa"/>
            </w:tcMar>
          </w:tcPr>
          <w:p>
            <w:pPr>
              <w:spacing w:before="0" w:after="0"/>
              <w:jc w:val="left"/>
            </w:pPr>
            <w:r>
              <w:rPr>
                <w:rFonts w:ascii="Times New Roman" w:hAnsi="Times New Roman"/>
                <w:sz w:val="19"/>
              </w:rPr>
              <w:t>Akurasi pada Data Training</w:t>
            </w:r>
          </w:p>
        </w:tc>
        <w:tc>
          <w:tcPr>
            <w:tcW w:type="dxa" w:w="5573"/>
            <w:shd w:fill="F4F7F5"/>
            <w:tcMar>
              <w:top w:w="80" w:type="dxa"/>
              <w:bottom w:w="80" w:type="dxa"/>
              <w:left w:w="120" w:type="dxa"/>
              <w:right w:w="120" w:type="dxa"/>
            </w:tcMar>
          </w:tcPr>
          <w:p>
            <w:pPr>
              <w:spacing w:before="0" w:after="0"/>
              <w:jc w:val="left"/>
            </w:pPr>
            <w:r>
              <w:rPr>
                <w:rFonts w:ascii="Times New Roman" w:hAnsi="Times New Roman"/>
                <w:sz w:val="19"/>
              </w:rPr>
              <w:t>99.38% pada seluruh 50.000 sampel training</w:t>
            </w:r>
          </w:p>
        </w:tc>
      </w:tr>
      <w:tr>
        <w:tc>
          <w:tcPr>
            <w:tcW w:type="dxa" w:w="3456"/>
            <w:shd w:fill="FFFFFF"/>
            <w:tcMar>
              <w:top w:w="80" w:type="dxa"/>
              <w:bottom w:w="80" w:type="dxa"/>
              <w:left w:w="120" w:type="dxa"/>
              <w:right w:w="120" w:type="dxa"/>
            </w:tcMar>
          </w:tcPr>
          <w:p>
            <w:pPr>
              <w:spacing w:before="0" w:after="0"/>
              <w:jc w:val="left"/>
            </w:pPr>
            <w:r>
              <w:rPr>
                <w:rFonts w:ascii="Times New Roman" w:hAnsi="Times New Roman"/>
                <w:sz w:val="19"/>
              </w:rPr>
              <w:t>Hardware Komputasi</w:t>
            </w:r>
          </w:p>
        </w:tc>
        <w:tc>
          <w:tcPr>
            <w:tcW w:type="dxa" w:w="5573"/>
            <w:shd w:fill="FFFFFF"/>
            <w:tcMar>
              <w:top w:w="80" w:type="dxa"/>
              <w:bottom w:w="80" w:type="dxa"/>
              <w:left w:w="120" w:type="dxa"/>
              <w:right w:w="120" w:type="dxa"/>
            </w:tcMar>
          </w:tcPr>
          <w:p>
            <w:pPr>
              <w:spacing w:before="0" w:after="0"/>
              <w:jc w:val="left"/>
            </w:pPr>
            <w:r>
              <w:rPr>
                <w:rFonts w:ascii="Times New Roman" w:hAnsi="Times New Roman"/>
                <w:sz w:val="19"/>
              </w:rPr>
              <w:t>Multi-Core CPU Parallel Accelerated (joblib &amp; Scikit-Learn)</w:t>
            </w:r>
          </w:p>
        </w:tc>
      </w:tr>
    </w:tbl>
    <w:p>
      <w:pPr>
        <w:spacing w:before="0" w:after="120"/>
      </w:pPr>
    </w:p>
    <w:p>
      <w:pPr>
        <w:keepNext/>
        <w:spacing w:before="280" w:after="80"/>
      </w:pPr>
      <w:r>
        <w:rPr>
          <w:rFonts w:ascii="Times New Roman" w:hAnsi="Times New Roman"/>
          <w:b/>
          <w:color w:val="2E5339"/>
          <w:sz w:val="26"/>
        </w:rPr>
        <w:t>2. Tujuan Praktikum</w:t>
      </w:r>
    </w:p>
    <w:p>
      <w:pPr>
        <w:pStyle w:val="ListBullet"/>
        <w:spacing w:before="0" w:after="60" w:line="276" w:lineRule="auto"/>
        <w:jc w:val="both"/>
      </w:pPr>
      <w:r>
        <w:rPr>
          <w:rFonts w:ascii="Times New Roman" w:hAnsi="Times New Roman"/>
          <w:b/>
          <w:sz w:val="22"/>
        </w:rPr>
        <w:t xml:space="preserve">1. Fusi Fitur Multidomain: </w:t>
      </w:r>
      <w:r>
        <w:rPr>
          <w:rFonts w:ascii="Times New Roman" w:hAnsi="Times New Roman"/>
          <w:sz w:val="22"/>
        </w:rPr>
        <w:t>Menggabungkan tiga ruang representasi fitur (RGB, AVG, NTSC) menjadi vektor gabungan 1.536 dimensi.</w:t>
      </w:r>
    </w:p>
    <w:p>
      <w:pPr>
        <w:pStyle w:val="ListBullet"/>
        <w:spacing w:before="0" w:after="60" w:line="276" w:lineRule="auto"/>
        <w:jc w:val="both"/>
      </w:pPr>
      <w:r>
        <w:rPr>
          <w:rFonts w:ascii="Times New Roman" w:hAnsi="Times New Roman"/>
          <w:b/>
          <w:sz w:val="22"/>
        </w:rPr>
        <w:t xml:space="preserve">2. Optimasi Preprocessing: </w:t>
      </w:r>
      <w:r>
        <w:rPr>
          <w:rFonts w:ascii="Times New Roman" w:hAnsi="Times New Roman"/>
          <w:sz w:val="22"/>
        </w:rPr>
        <w:t>Mengevaluasi berbagai skema preprocessing dan feature weighting untuk mengoptimalkan separasi ruang fitur.</w:t>
      </w:r>
    </w:p>
    <w:p>
      <w:pPr>
        <w:pStyle w:val="ListBullet"/>
        <w:spacing w:before="0" w:after="60" w:line="276" w:lineRule="auto"/>
        <w:jc w:val="both"/>
      </w:pPr>
      <w:r>
        <w:rPr>
          <w:rFonts w:ascii="Times New Roman" w:hAnsi="Times New Roman"/>
          <w:b/>
          <w:sz w:val="22"/>
        </w:rPr>
        <w:t xml:space="preserve">3. Normalisasi L2: </w:t>
      </w:r>
      <w:r>
        <w:rPr>
          <w:rFonts w:ascii="Times New Roman" w:hAnsi="Times New Roman"/>
          <w:sz w:val="22"/>
        </w:rPr>
        <w:t>Menerapkan proyeksi L2-Hypersphere Normalization guna mengubah metrik Euclidean menjadi Cosine Distance.</w:t>
      </w:r>
    </w:p>
    <w:p>
      <w:pPr>
        <w:pStyle w:val="ListBullet"/>
        <w:spacing w:before="0" w:after="60" w:line="276" w:lineRule="auto"/>
        <w:jc w:val="both"/>
      </w:pPr>
      <w:r>
        <w:rPr>
          <w:rFonts w:ascii="Times New Roman" w:hAnsi="Times New Roman"/>
          <w:b/>
          <w:sz w:val="22"/>
        </w:rPr>
        <w:t xml:space="preserve">4. Pelatihan &amp; Serialisasi: </w:t>
      </w:r>
      <w:r>
        <w:rPr>
          <w:rFonts w:ascii="Times New Roman" w:hAnsi="Times New Roman"/>
          <w:sz w:val="22"/>
        </w:rPr>
        <w:t>Melatih model final Consensus SVM pada 50.000 sampel data gabungan dan mengekspor seluruh artefak ke disk.</w:t>
      </w:r>
    </w:p>
    <w:p>
      <w:pPr>
        <w:keepNext/>
        <w:spacing w:before="280" w:after="80"/>
      </w:pPr>
      <w:r>
        <w:rPr>
          <w:rFonts w:ascii="Times New Roman" w:hAnsi="Times New Roman"/>
          <w:b/>
          <w:color w:val="2E5339"/>
          <w:sz w:val="26"/>
        </w:rPr>
        <w:t>3. Landasan Teori Multi-Domain Feature Fusion</w:t>
      </w:r>
    </w:p>
    <w:p>
      <w:pPr>
        <w:spacing w:before="0" w:after="100" w:line="276" w:lineRule="auto"/>
        <w:jc w:val="both"/>
      </w:pPr>
      <w:r>
        <w:rPr>
          <w:rFonts w:ascii="Times New Roman" w:hAnsi="Times New Roman"/>
          <w:i w:val="0"/>
          <w:sz w:val="22"/>
        </w:rPr>
        <w:t>Setiap representasi citra memiliki kekuatan dan kelemahan yang berbeda dalam mengabstraksi informasi visual:</w:t>
      </w:r>
    </w:p>
    <w:p>
      <w:pPr>
        <w:pStyle w:val="ListBullet"/>
        <w:spacing w:before="0" w:after="60" w:line="276" w:lineRule="auto"/>
        <w:jc w:val="both"/>
      </w:pPr>
      <w:r>
        <w:rPr>
          <w:rFonts w:ascii="Times New Roman" w:hAnsi="Times New Roman"/>
          <w:b/>
          <w:sz w:val="22"/>
        </w:rPr>
        <w:t xml:space="preserve">1. Fitur RGB (512-D): </w:t>
      </w:r>
      <w:r>
        <w:rPr>
          <w:rFonts w:ascii="Times New Roman" w:hAnsi="Times New Roman"/>
          <w:sz w:val="22"/>
        </w:rPr>
        <w:t>Menyimpan pola kromatisitas fotometri asli 3 saluran (warna primer), namun sensitif terhadap variasi pencahayaan drastis.</w:t>
      </w:r>
    </w:p>
    <w:p>
      <w:pPr>
        <w:pStyle w:val="ListBullet"/>
        <w:spacing w:before="0" w:after="60" w:line="276" w:lineRule="auto"/>
        <w:jc w:val="both"/>
      </w:pPr>
      <w:r>
        <w:rPr>
          <w:rFonts w:ascii="Times New Roman" w:hAnsi="Times New Roman"/>
          <w:b/>
          <w:sz w:val="22"/>
        </w:rPr>
        <w:t xml:space="preserve">2. Fitur Grayscale AVG (512-D): </w:t>
      </w:r>
      <w:r>
        <w:rPr>
          <w:rFonts w:ascii="Times New Roman" w:hAnsi="Times New Roman"/>
          <w:sz w:val="22"/>
        </w:rPr>
        <w:t>Menyediakan representasi intensitas isotropik yang invarian terhadap warna, menonjolkan bentuk keseluruhan objek.</w:t>
      </w:r>
    </w:p>
    <w:p>
      <w:pPr>
        <w:pStyle w:val="ListBullet"/>
        <w:spacing w:before="0" w:after="60" w:line="276" w:lineRule="auto"/>
        <w:jc w:val="both"/>
      </w:pPr>
      <w:r>
        <w:rPr>
          <w:rFonts w:ascii="Times New Roman" w:hAnsi="Times New Roman"/>
          <w:b/>
          <w:sz w:val="22"/>
        </w:rPr>
        <w:t xml:space="preserve">3. Fitur Grayscale NTSC (512-D): </w:t>
      </w:r>
      <w:r>
        <w:rPr>
          <w:rFonts w:ascii="Times New Roman" w:hAnsi="Times New Roman"/>
          <w:sz w:val="22"/>
        </w:rPr>
        <w:t>Menyesuaikan persepsi fisiologis mata manusia (pembobotan dominan pada saluran hijau), menghasilkan kontras tekstur alami yang tajam.</w:t>
      </w:r>
    </w:p>
    <w:p>
      <w:pPr>
        <w:spacing w:before="0" w:after="100" w:line="276" w:lineRule="auto"/>
        <w:jc w:val="both"/>
      </w:pPr>
      <w:r>
        <w:rPr>
          <w:rFonts w:ascii="Times New Roman" w:hAnsi="Times New Roman"/>
          <w:i w:val="0"/>
          <w:sz w:val="22"/>
        </w:rPr>
        <w:t>Melalui Concatenative Fusion, ketiga vektor digabungkan menjadi vektor berdimensi 1.536:</w:t>
      </w:r>
    </w:p>
    <w:p>
      <w:pPr>
        <w:spacing w:before="0" w:after="100" w:line="276" w:lineRule="auto"/>
        <w:jc w:val="both"/>
      </w:pPr>
      <w:r>
        <w:rPr>
          <w:rFonts w:ascii="Times New Roman" w:hAnsi="Times New Roman"/>
          <w:b/>
          <w:sz w:val="22"/>
        </w:rPr>
        <w:t xml:space="preserve">Formula Fusi Vektor: </w:t>
      </w:r>
      <w:r>
        <w:rPr>
          <w:rFonts w:ascii="Times New Roman" w:hAnsi="Times New Roman"/>
          <w:i/>
          <w:sz w:val="22"/>
        </w:rPr>
        <w:t>X_fused = [ X_RGB(512)  ||  X_AVG(512)  ||  X_NTSC(512) ]  dalam R^(1536)</w:t>
      </w:r>
    </w:p>
    <w:p>
      <w:pPr>
        <w:spacing w:before="0" w:after="100" w:line="276" w:lineRule="auto"/>
        <w:jc w:val="both"/>
      </w:pPr>
      <w:r>
        <w:rPr>
          <w:rFonts w:ascii="Times New Roman" w:hAnsi="Times New Roman"/>
          <w:i w:val="0"/>
          <w:sz w:val="22"/>
        </w:rPr>
        <w:t>Penggabungan ini memungkinkan classifier SVM untuk memanfaatkan sinergi lintas domain: ketika fitur RGB mengalami ambiguitas akibat kesamaan warna antar objek, fitur tekstur NTSC dan AVG dapat memberikan informasi pembeda yang krusial, dan sebaliknya.</w:t>
      </w:r>
    </w:p>
    <w:p>
      <w:pPr>
        <w:keepNext/>
        <w:spacing w:before="160" w:after="60"/>
        <w:jc w:val="center"/>
      </w:pPr>
      <w:r>
        <w:drawing>
          <wp:inline xmlns:a="http://schemas.openxmlformats.org/drawingml/2006/main" xmlns:pic="http://schemas.openxmlformats.org/drawingml/2006/picture">
            <wp:extent cx="5120640" cy="2534458"/>
            <wp:docPr id="2" name="Picture 2"/>
            <wp:cNvGraphicFramePr>
              <a:graphicFrameLocks noChangeAspect="1"/>
            </wp:cNvGraphicFramePr>
            <a:graphic>
              <a:graphicData uri="http://schemas.openxmlformats.org/drawingml/2006/picture">
                <pic:pic>
                  <pic:nvPicPr>
                    <pic:cNvPr id="0" name="7_Fusion_train_arch.png"/>
                    <pic:cNvPicPr/>
                  </pic:nvPicPr>
                  <pic:blipFill>
                    <a:blip r:embed="rId10"/>
                    <a:stretch>
                      <a:fillRect/>
                    </a:stretch>
                  </pic:blipFill>
                  <pic:spPr>
                    <a:xfrm>
                      <a:off x="0" y="0"/>
                      <a:ext cx="5120640" cy="2534458"/>
                    </a:xfrm>
                    <a:prstGeom prst="rect"/>
                  </pic:spPr>
                </pic:pic>
              </a:graphicData>
            </a:graphic>
          </wp:inline>
        </w:drawing>
      </w:r>
    </w:p>
    <w:p>
      <w:pPr>
        <w:spacing w:before="0" w:after="200"/>
        <w:jc w:val="center"/>
      </w:pPr>
      <w:r>
        <w:rPr>
          <w:rFonts w:ascii="Times New Roman" w:hAnsi="Times New Roman"/>
          <w:i/>
          <w:color w:val="3C3C3C"/>
          <w:sz w:val="19"/>
        </w:rPr>
        <w:t>Gambar 1: Diagram Alir Arsitektur Feature Engineering: Multi-Domain Concatenative Fusion (1.536-D) dan Fused Consensus SVM</w:t>
      </w:r>
    </w:p>
    <w:p>
      <w:pPr>
        <w:keepNext/>
        <w:spacing w:before="280" w:after="80"/>
      </w:pPr>
      <w:r>
        <w:rPr>
          <w:rFonts w:ascii="Times New Roman" w:hAnsi="Times New Roman"/>
          <w:b/>
          <w:color w:val="2E5339"/>
          <w:sz w:val="26"/>
        </w:rPr>
        <w:t>4. Evaluasi Skema Preprocessing &amp; Feature Weighting</w:t>
      </w:r>
    </w:p>
    <w:p>
      <w:pPr>
        <w:spacing w:before="0" w:after="100" w:line="276" w:lineRule="auto"/>
        <w:jc w:val="both"/>
      </w:pPr>
      <w:r>
        <w:rPr>
          <w:rFonts w:ascii="Times New Roman" w:hAnsi="Times New Roman"/>
          <w:i w:val="0"/>
          <w:sz w:val="22"/>
        </w:rPr>
        <w:t>Sebanyak 7 konfigurasi preprocessor dievaluasi secara multi-core paralel pada subset representatif 10.000 sampel validasi:</w:t>
      </w:r>
    </w:p>
    <w:tbl>
      <w:tblPr>
        <w:tblW w:type="auto" w:w="0"/>
        <w:jc w:val="center"/>
        <w:tblLayout w:type="fixed"/>
        <w:tblLook w:firstColumn="1" w:firstRow="1" w:lastColumn="0" w:lastRow="0" w:noHBand="0" w:noVBand="1" w:val="04A0"/>
        <w:tblBorders>
          <w:top w:val="single" w:sz="4" w:space="0" w:color="C5D0C8"/>
          <w:bottom w:val="single" w:sz="4" w:space="0" w:color="C5D0C8"/>
          <w:insideH w:val="single" w:sz="4" w:space="0" w:color="C5D0C8"/>
          <w:insideV w:val="none"/>
          <w:left w:val="none"/>
          <w:right w:val="none"/>
        </w:tblBorders>
      </w:tblPr>
      <w:tblGrid>
        <w:gridCol w:w="3010"/>
        <w:gridCol w:w="3010"/>
        <w:gridCol w:w="3010"/>
      </w:tblGrid>
      <w:tr>
        <w:tc>
          <w:tcPr>
            <w:tcW w:type="dxa" w:w="2304"/>
            <w:shd w:fill="2E5339"/>
            <w:tcMar>
              <w:top w:w="120" w:type="dxa"/>
              <w:bottom w:w="120" w:type="dxa"/>
              <w:left w:w="140" w:type="dxa"/>
              <w:right w:w="140" w:type="dxa"/>
            </w:tcMar>
          </w:tcPr>
          <w:p>
            <w:pPr>
              <w:spacing w:before="0" w:after="0"/>
              <w:jc w:val="center"/>
            </w:pPr>
            <w:r>
              <w:rPr>
                <w:rFonts w:ascii="Times New Roman" w:hAnsi="Times New Roman"/>
                <w:b/>
                <w:color w:val="FFFFFF"/>
                <w:sz w:val="20"/>
              </w:rPr>
              <w:t>Mode Preprocessing</w:t>
            </w:r>
          </w:p>
        </w:tc>
        <w:tc>
          <w:tcPr>
            <w:tcW w:type="dxa" w:w="4608"/>
            <w:shd w:fill="2E5339"/>
            <w:tcMar>
              <w:top w:w="120" w:type="dxa"/>
              <w:bottom w:w="120" w:type="dxa"/>
              <w:left w:w="140" w:type="dxa"/>
              <w:right w:w="140" w:type="dxa"/>
            </w:tcMar>
          </w:tcPr>
          <w:p>
            <w:pPr>
              <w:spacing w:before="0" w:after="0"/>
              <w:jc w:val="center"/>
            </w:pPr>
            <w:r>
              <w:rPr>
                <w:rFonts w:ascii="Times New Roman" w:hAnsi="Times New Roman"/>
                <w:b/>
                <w:color w:val="FFFFFF"/>
                <w:sz w:val="20"/>
              </w:rPr>
              <w:t>Deskripsi Skema Normalisasi &amp; Pembobotan</w:t>
            </w:r>
          </w:p>
        </w:tc>
        <w:tc>
          <w:tcPr>
            <w:tcW w:type="dxa" w:w="2117"/>
            <w:shd w:fill="2E5339"/>
            <w:tcMar>
              <w:top w:w="120" w:type="dxa"/>
              <w:bottom w:w="120" w:type="dxa"/>
              <w:left w:w="140" w:type="dxa"/>
              <w:right w:w="140" w:type="dxa"/>
            </w:tcMar>
          </w:tcPr>
          <w:p>
            <w:pPr>
              <w:spacing w:before="0" w:after="0"/>
              <w:jc w:val="center"/>
            </w:pPr>
            <w:r>
              <w:rPr>
                <w:rFonts w:ascii="Times New Roman" w:hAnsi="Times New Roman"/>
                <w:b/>
                <w:color w:val="FFFFFF"/>
                <w:sz w:val="20"/>
              </w:rPr>
              <w:t>Validation Accuracy</w:t>
            </w:r>
          </w:p>
        </w:tc>
      </w:tr>
      <w:tr>
        <w:tc>
          <w:tcPr>
            <w:tcW w:type="dxa" w:w="2304"/>
            <w:shd w:fill="FFFFFF"/>
            <w:tcMar>
              <w:top w:w="80" w:type="dxa"/>
              <w:bottom w:w="80" w:type="dxa"/>
              <w:left w:w="120" w:type="dxa"/>
              <w:right w:w="120" w:type="dxa"/>
            </w:tcMar>
          </w:tcPr>
          <w:p>
            <w:pPr>
              <w:spacing w:before="0" w:after="0"/>
              <w:jc w:val="center"/>
            </w:pPr>
            <w:r>
              <w:rPr>
                <w:rFonts w:ascii="Times New Roman" w:hAnsi="Times New Roman"/>
                <w:sz w:val="19"/>
              </w:rPr>
              <w:t>Mode A</w:t>
            </w:r>
          </w:p>
        </w:tc>
        <w:tc>
          <w:tcPr>
            <w:tcW w:type="dxa" w:w="4608"/>
            <w:shd w:fill="FFFFFF"/>
            <w:tcMar>
              <w:top w:w="80" w:type="dxa"/>
              <w:bottom w:w="80" w:type="dxa"/>
              <w:left w:w="120" w:type="dxa"/>
              <w:right w:w="120" w:type="dxa"/>
            </w:tcMar>
          </w:tcPr>
          <w:p>
            <w:pPr>
              <w:spacing w:before="0" w:after="0"/>
              <w:jc w:val="left"/>
            </w:pPr>
            <w:r>
              <w:rPr>
                <w:rFonts w:ascii="Times New Roman" w:hAnsi="Times New Roman"/>
                <w:sz w:val="19"/>
              </w:rPr>
              <w:t>Global StandardScaler konvensional</w:t>
            </w:r>
          </w:p>
        </w:tc>
        <w:tc>
          <w:tcPr>
            <w:tcW w:type="dxa" w:w="2117"/>
            <w:shd w:fill="FFFFFF"/>
            <w:tcMar>
              <w:top w:w="80" w:type="dxa"/>
              <w:bottom w:w="80" w:type="dxa"/>
              <w:left w:w="120" w:type="dxa"/>
              <w:right w:w="120" w:type="dxa"/>
            </w:tcMar>
          </w:tcPr>
          <w:p>
            <w:pPr>
              <w:spacing w:before="0" w:after="0"/>
              <w:jc w:val="center"/>
            </w:pPr>
            <w:r>
              <w:rPr>
                <w:rFonts w:ascii="Times New Roman" w:hAnsi="Times New Roman"/>
                <w:sz w:val="19"/>
              </w:rPr>
              <w:t>94.00%</w:t>
            </w:r>
          </w:p>
        </w:tc>
      </w:tr>
      <w:tr>
        <w:tc>
          <w:tcPr>
            <w:tcW w:type="dxa" w:w="2304"/>
            <w:shd w:fill="F4F7F5"/>
            <w:tcMar>
              <w:top w:w="80" w:type="dxa"/>
              <w:bottom w:w="80" w:type="dxa"/>
              <w:left w:w="120" w:type="dxa"/>
              <w:right w:w="120" w:type="dxa"/>
            </w:tcMar>
          </w:tcPr>
          <w:p>
            <w:pPr>
              <w:spacing w:before="0" w:after="0"/>
              <w:jc w:val="center"/>
            </w:pPr>
            <w:r>
              <w:rPr>
                <w:rFonts w:ascii="Times New Roman" w:hAnsi="Times New Roman"/>
                <w:sz w:val="19"/>
              </w:rPr>
              <w:t>Mode B</w:t>
            </w:r>
          </w:p>
        </w:tc>
        <w:tc>
          <w:tcPr>
            <w:tcW w:type="dxa" w:w="4608"/>
            <w:shd w:fill="F4F7F5"/>
            <w:tcMar>
              <w:top w:w="80" w:type="dxa"/>
              <w:bottom w:w="80" w:type="dxa"/>
              <w:left w:w="120" w:type="dxa"/>
              <w:right w:w="120" w:type="dxa"/>
            </w:tcMar>
          </w:tcPr>
          <w:p>
            <w:pPr>
              <w:spacing w:before="0" w:after="0"/>
              <w:jc w:val="left"/>
            </w:pPr>
            <w:r>
              <w:rPr>
                <w:rFonts w:ascii="Times New Roman" w:hAnsi="Times New Roman"/>
                <w:sz w:val="19"/>
              </w:rPr>
              <w:t>Global StandardScaler + L2 Normalization</w:t>
            </w:r>
          </w:p>
        </w:tc>
        <w:tc>
          <w:tcPr>
            <w:tcW w:type="dxa" w:w="2117"/>
            <w:shd w:fill="F4F7F5"/>
            <w:tcMar>
              <w:top w:w="80" w:type="dxa"/>
              <w:bottom w:w="80" w:type="dxa"/>
              <w:left w:w="120" w:type="dxa"/>
              <w:right w:w="120" w:type="dxa"/>
            </w:tcMar>
          </w:tcPr>
          <w:p>
            <w:pPr>
              <w:spacing w:before="0" w:after="0"/>
              <w:jc w:val="center"/>
            </w:pPr>
            <w:r>
              <w:rPr>
                <w:rFonts w:ascii="Times New Roman" w:hAnsi="Times New Roman"/>
                <w:sz w:val="19"/>
              </w:rPr>
              <w:t>93.94%</w:t>
            </w:r>
          </w:p>
        </w:tc>
      </w:tr>
      <w:tr>
        <w:tc>
          <w:tcPr>
            <w:tcW w:type="dxa" w:w="2304"/>
            <w:shd w:fill="FFFFFF"/>
            <w:tcMar>
              <w:top w:w="80" w:type="dxa"/>
              <w:bottom w:w="80" w:type="dxa"/>
              <w:left w:w="120" w:type="dxa"/>
              <w:right w:w="120" w:type="dxa"/>
            </w:tcMar>
          </w:tcPr>
          <w:p>
            <w:pPr>
              <w:spacing w:before="0" w:after="0"/>
              <w:jc w:val="center"/>
            </w:pPr>
            <w:r>
              <w:rPr>
                <w:rFonts w:ascii="Times New Roman" w:hAnsi="Times New Roman"/>
                <w:sz w:val="19"/>
              </w:rPr>
              <w:t>Mode C</w:t>
            </w:r>
          </w:p>
        </w:tc>
        <w:tc>
          <w:tcPr>
            <w:tcW w:type="dxa" w:w="4608"/>
            <w:shd w:fill="FFFFFF"/>
            <w:tcMar>
              <w:top w:w="80" w:type="dxa"/>
              <w:bottom w:w="80" w:type="dxa"/>
              <w:left w:w="120" w:type="dxa"/>
              <w:right w:w="120" w:type="dxa"/>
            </w:tcMar>
          </w:tcPr>
          <w:p>
            <w:pPr>
              <w:spacing w:before="0" w:after="0"/>
              <w:jc w:val="left"/>
            </w:pPr>
            <w:r>
              <w:rPr>
                <w:rFonts w:ascii="Times New Roman" w:hAnsi="Times New Roman"/>
                <w:sz w:val="19"/>
              </w:rPr>
              <w:t>Per-Domain StandardScaler mandiri pada masing-masing blok 512-D</w:t>
            </w:r>
          </w:p>
        </w:tc>
        <w:tc>
          <w:tcPr>
            <w:tcW w:type="dxa" w:w="2117"/>
            <w:shd w:fill="FFFFFF"/>
            <w:tcMar>
              <w:top w:w="80" w:type="dxa"/>
              <w:bottom w:w="80" w:type="dxa"/>
              <w:left w:w="120" w:type="dxa"/>
              <w:right w:w="120" w:type="dxa"/>
            </w:tcMar>
          </w:tcPr>
          <w:p>
            <w:pPr>
              <w:spacing w:before="0" w:after="0"/>
              <w:jc w:val="center"/>
            </w:pPr>
            <w:r>
              <w:rPr>
                <w:rFonts w:ascii="Times New Roman" w:hAnsi="Times New Roman"/>
                <w:sz w:val="19"/>
              </w:rPr>
              <w:t>94.00%</w:t>
            </w:r>
          </w:p>
        </w:tc>
      </w:tr>
      <w:tr>
        <w:tc>
          <w:tcPr>
            <w:tcW w:type="dxa" w:w="2304"/>
            <w:shd w:fill="F4F7F5"/>
            <w:tcMar>
              <w:top w:w="80" w:type="dxa"/>
              <w:bottom w:w="80" w:type="dxa"/>
              <w:left w:w="120" w:type="dxa"/>
              <w:right w:w="120" w:type="dxa"/>
            </w:tcMar>
          </w:tcPr>
          <w:p>
            <w:pPr>
              <w:spacing w:before="0" w:after="0"/>
              <w:jc w:val="center"/>
            </w:pPr>
            <w:r>
              <w:rPr>
                <w:rFonts w:ascii="Times New Roman" w:hAnsi="Times New Roman"/>
                <w:sz w:val="19"/>
              </w:rPr>
              <w:t>Mode D</w:t>
            </w:r>
          </w:p>
        </w:tc>
        <w:tc>
          <w:tcPr>
            <w:tcW w:type="dxa" w:w="4608"/>
            <w:shd w:fill="F4F7F5"/>
            <w:tcMar>
              <w:top w:w="80" w:type="dxa"/>
              <w:bottom w:w="80" w:type="dxa"/>
              <w:left w:w="120" w:type="dxa"/>
              <w:right w:w="120" w:type="dxa"/>
            </w:tcMar>
          </w:tcPr>
          <w:p>
            <w:pPr>
              <w:spacing w:before="0" w:after="0"/>
              <w:jc w:val="left"/>
            </w:pPr>
            <w:r>
              <w:rPr>
                <w:rFonts w:ascii="Times New Roman" w:hAnsi="Times New Roman"/>
                <w:sz w:val="19"/>
              </w:rPr>
              <w:t>Per-Domain StandardScaler + Bobot Domain (RGB=1.0, AVG=0.7, NTSC=0.7)</w:t>
            </w:r>
          </w:p>
        </w:tc>
        <w:tc>
          <w:tcPr>
            <w:tcW w:type="dxa" w:w="2117"/>
            <w:shd w:fill="F4F7F5"/>
            <w:tcMar>
              <w:top w:w="80" w:type="dxa"/>
              <w:bottom w:w="80" w:type="dxa"/>
              <w:left w:w="120" w:type="dxa"/>
              <w:right w:w="120" w:type="dxa"/>
            </w:tcMar>
          </w:tcPr>
          <w:p>
            <w:pPr>
              <w:spacing w:before="0" w:after="0"/>
              <w:jc w:val="center"/>
            </w:pPr>
            <w:r>
              <w:rPr>
                <w:rFonts w:ascii="Times New Roman" w:hAnsi="Times New Roman"/>
                <w:sz w:val="19"/>
              </w:rPr>
              <w:t>94.30%</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sz w:val="19"/>
              </w:rPr>
              <w:t>Mode D+L2 (Terpilih)</w:t>
            </w:r>
          </w:p>
        </w:tc>
        <w:tc>
          <w:tcPr>
            <w:tcW w:type="dxa" w:w="4608"/>
            <w:shd w:fill="FFFFFF"/>
            <w:tcMar>
              <w:top w:w="80" w:type="dxa"/>
              <w:bottom w:w="80" w:type="dxa"/>
              <w:left w:w="120" w:type="dxa"/>
              <w:right w:w="120" w:type="dxa"/>
            </w:tcMar>
          </w:tcPr>
          <w:p>
            <w:pPr>
              <w:spacing w:before="0" w:after="0"/>
              <w:jc w:val="left"/>
            </w:pPr>
            <w:r>
              <w:rPr>
                <w:rFonts w:ascii="Times New Roman" w:hAnsi="Times New Roman"/>
                <w:sz w:val="19"/>
              </w:rPr>
              <w:t>Per-Domain StandardScaler + Bobot Domain + L2 Normalization</w:t>
            </w:r>
          </w:p>
        </w:tc>
        <w:tc>
          <w:tcPr>
            <w:tcW w:type="dxa" w:w="2117"/>
            <w:shd w:fill="FFFFFF"/>
            <w:tcMar>
              <w:top w:w="80" w:type="dxa"/>
              <w:bottom w:w="80" w:type="dxa"/>
              <w:left w:w="120" w:type="dxa"/>
              <w:right w:w="120" w:type="dxa"/>
            </w:tcMar>
          </w:tcPr>
          <w:p>
            <w:pPr>
              <w:spacing w:before="0" w:after="0"/>
              <w:jc w:val="center"/>
            </w:pPr>
            <w:r>
              <w:rPr>
                <w:rFonts w:ascii="Times New Roman" w:hAnsi="Times New Roman"/>
                <w:sz w:val="19"/>
              </w:rPr>
              <w:t>94.50% (Tertinggi)</w:t>
            </w:r>
          </w:p>
        </w:tc>
      </w:tr>
      <w:tr>
        <w:tc>
          <w:tcPr>
            <w:tcW w:type="dxa" w:w="2304"/>
            <w:shd w:fill="F4F7F5"/>
            <w:tcMar>
              <w:top w:w="80" w:type="dxa"/>
              <w:bottom w:w="80" w:type="dxa"/>
              <w:left w:w="120" w:type="dxa"/>
              <w:right w:w="120" w:type="dxa"/>
            </w:tcMar>
          </w:tcPr>
          <w:p>
            <w:pPr>
              <w:spacing w:before="0" w:after="0"/>
              <w:jc w:val="center"/>
            </w:pPr>
            <w:r>
              <w:rPr>
                <w:rFonts w:ascii="Times New Roman" w:hAnsi="Times New Roman"/>
                <w:sz w:val="19"/>
              </w:rPr>
              <w:t>Mode E</w:t>
            </w:r>
          </w:p>
        </w:tc>
        <w:tc>
          <w:tcPr>
            <w:tcW w:type="dxa" w:w="4608"/>
            <w:shd w:fill="F4F7F5"/>
            <w:tcMar>
              <w:top w:w="80" w:type="dxa"/>
              <w:bottom w:w="80" w:type="dxa"/>
              <w:left w:w="120" w:type="dxa"/>
              <w:right w:w="120" w:type="dxa"/>
            </w:tcMar>
          </w:tcPr>
          <w:p>
            <w:pPr>
              <w:spacing w:before="0" w:after="0"/>
              <w:jc w:val="left"/>
            </w:pPr>
            <w:r>
              <w:rPr>
                <w:rFonts w:ascii="Times New Roman" w:hAnsi="Times New Roman"/>
                <w:sz w:val="19"/>
              </w:rPr>
              <w:t>Global StandardScaler + Bobot Domain (1.0, 0.7, 0.7)</w:t>
            </w:r>
          </w:p>
        </w:tc>
        <w:tc>
          <w:tcPr>
            <w:tcW w:type="dxa" w:w="2117"/>
            <w:shd w:fill="F4F7F5"/>
            <w:tcMar>
              <w:top w:w="80" w:type="dxa"/>
              <w:bottom w:w="80" w:type="dxa"/>
              <w:left w:w="120" w:type="dxa"/>
              <w:right w:w="120" w:type="dxa"/>
            </w:tcMar>
          </w:tcPr>
          <w:p>
            <w:pPr>
              <w:spacing w:before="0" w:after="0"/>
              <w:jc w:val="center"/>
            </w:pPr>
            <w:r>
              <w:rPr>
                <w:rFonts w:ascii="Times New Roman" w:hAnsi="Times New Roman"/>
                <w:sz w:val="19"/>
              </w:rPr>
              <w:t>94.30%</w:t>
            </w:r>
          </w:p>
        </w:tc>
      </w:tr>
      <w:tr>
        <w:tc>
          <w:tcPr>
            <w:tcW w:type="dxa" w:w="2304"/>
            <w:shd w:fill="FFFFFF"/>
            <w:tcMar>
              <w:top w:w="80" w:type="dxa"/>
              <w:bottom w:w="80" w:type="dxa"/>
              <w:left w:w="120" w:type="dxa"/>
              <w:right w:w="120" w:type="dxa"/>
            </w:tcMar>
          </w:tcPr>
          <w:p>
            <w:pPr>
              <w:spacing w:before="0" w:after="0"/>
              <w:jc w:val="center"/>
            </w:pPr>
            <w:r>
              <w:rPr>
                <w:rFonts w:ascii="Times New Roman" w:hAnsi="Times New Roman"/>
                <w:sz w:val="19"/>
              </w:rPr>
              <w:t>Mode E+L2</w:t>
            </w:r>
          </w:p>
        </w:tc>
        <w:tc>
          <w:tcPr>
            <w:tcW w:type="dxa" w:w="4608"/>
            <w:shd w:fill="FFFFFF"/>
            <w:tcMar>
              <w:top w:w="80" w:type="dxa"/>
              <w:bottom w:w="80" w:type="dxa"/>
              <w:left w:w="120" w:type="dxa"/>
              <w:right w:w="120" w:type="dxa"/>
            </w:tcMar>
          </w:tcPr>
          <w:p>
            <w:pPr>
              <w:spacing w:before="0" w:after="0"/>
              <w:jc w:val="left"/>
            </w:pPr>
            <w:r>
              <w:rPr>
                <w:rFonts w:ascii="Times New Roman" w:hAnsi="Times New Roman"/>
                <w:sz w:val="19"/>
              </w:rPr>
              <w:t>Global StandardScaler + Bobot Domain + L2 Normalization</w:t>
            </w:r>
          </w:p>
        </w:tc>
        <w:tc>
          <w:tcPr>
            <w:tcW w:type="dxa" w:w="2117"/>
            <w:shd w:fill="FFFFFF"/>
            <w:tcMar>
              <w:top w:w="80" w:type="dxa"/>
              <w:bottom w:w="80" w:type="dxa"/>
              <w:left w:w="120" w:type="dxa"/>
              <w:right w:w="120" w:type="dxa"/>
            </w:tcMar>
          </w:tcPr>
          <w:p>
            <w:pPr>
              <w:spacing w:before="0" w:after="0"/>
              <w:jc w:val="center"/>
            </w:pPr>
            <w:r>
              <w:rPr>
                <w:rFonts w:ascii="Times New Roman" w:hAnsi="Times New Roman"/>
                <w:sz w:val="19"/>
              </w:rPr>
              <w:t>94.50%</w:t>
            </w:r>
          </w:p>
        </w:tc>
      </w:tr>
    </w:tbl>
    <w:p>
      <w:pPr>
        <w:spacing w:before="0" w:after="120"/>
      </w:pPr>
    </w:p>
    <w:p>
      <w:pPr>
        <w:spacing w:before="0" w:after="100" w:line="276" w:lineRule="auto"/>
        <w:jc w:val="both"/>
      </w:pPr>
      <w:r>
        <w:rPr>
          <w:rFonts w:ascii="Times New Roman" w:hAnsi="Times New Roman"/>
          <w:i w:val="0"/>
          <w:sz w:val="22"/>
        </w:rPr>
        <w:t>Mode D+L2 terpilih sebagai konfigurasi optimal dengan akurasi validasi tertinggi 94.50%. Pemberian bobot 1.0 pada RGB dan 0.7 pada AVG serta NTSC memberikan prioritas utama pada informasi warna, sementara normalisasi L2 memproyeksikan seluruh vektor ke permukaan bola satuan (hypersphere) sehingga jarak Euclidean kernel RBF bertransformasi menjadi kesamaan arah cosinus.</w:t>
      </w:r>
    </w:p>
    <w:p>
      <w:pPr>
        <w:keepNext/>
        <w:spacing w:before="280" w:after="80"/>
      </w:pPr>
      <w:r>
        <w:rPr>
          <w:rFonts w:ascii="Times New Roman" w:hAnsi="Times New Roman"/>
          <w:b/>
          <w:color w:val="2E5339"/>
          <w:sz w:val="26"/>
        </w:rPr>
        <w:t>5. Pelatihan Consensus SVM Classifier Final</w:t>
      </w:r>
    </w:p>
    <w:p>
      <w:pPr>
        <w:spacing w:before="0" w:after="100" w:line="276" w:lineRule="auto"/>
        <w:jc w:val="both"/>
      </w:pPr>
      <w:r>
        <w:rPr>
          <w:rFonts w:ascii="Times New Roman" w:hAnsi="Times New Roman"/>
          <w:i w:val="0"/>
          <w:sz w:val="22"/>
        </w:rPr>
        <w:t>Preprocessor terpilih (Mode D+L2) diterapkan pada seluruh 50.000 sampel fitur gabungan. Selanjutnya, model Fused Consensus SVM (menggabungkan batas keputusan RBF Kernel berbobot margin tinggi dan Cosine Linear) dilatih pada seluruh data training.</w:t>
      </w:r>
    </w:p>
    <w:p>
      <w:pPr>
        <w:pStyle w:val="ListBullet"/>
        <w:spacing w:before="0" w:after="60" w:line="276" w:lineRule="auto"/>
        <w:jc w:val="both"/>
      </w:pPr>
      <w:r>
        <w:rPr>
          <w:rFonts w:ascii="Times New Roman" w:hAnsi="Times New Roman"/>
          <w:b/>
          <w:sz w:val="22"/>
        </w:rPr>
        <w:t xml:space="preserve">Tahap 1: </w:t>
      </w:r>
      <w:r>
        <w:rPr>
          <w:rFonts w:ascii="Times New Roman" w:hAnsi="Times New Roman"/>
          <w:sz w:val="22"/>
        </w:rPr>
        <w:t>Pelatihan RBF Kernel SVM pada 50.000 sampel fitur 1.536 dimensi.</w:t>
      </w:r>
    </w:p>
    <w:p>
      <w:pPr>
        <w:pStyle w:val="ListBullet"/>
        <w:spacing w:before="0" w:after="60" w:line="276" w:lineRule="auto"/>
        <w:jc w:val="both"/>
      </w:pPr>
      <w:r>
        <w:rPr>
          <w:rFonts w:ascii="Times New Roman" w:hAnsi="Times New Roman"/>
          <w:b/>
          <w:sz w:val="22"/>
        </w:rPr>
        <w:t xml:space="preserve">Tahap 2: </w:t>
      </w:r>
      <w:r>
        <w:rPr>
          <w:rFonts w:ascii="Times New Roman" w:hAnsi="Times New Roman"/>
          <w:sz w:val="22"/>
        </w:rPr>
        <w:t>Pelatihan Cosine Linear SVM pada ruang hipersfer 1.536 dimensi.</w:t>
      </w:r>
    </w:p>
    <w:p>
      <w:pPr>
        <w:pStyle w:val="ListBullet"/>
        <w:spacing w:before="0" w:after="60" w:line="276" w:lineRule="auto"/>
        <w:jc w:val="both"/>
      </w:pPr>
      <w:r>
        <w:rPr>
          <w:rFonts w:ascii="Times New Roman" w:hAnsi="Times New Roman"/>
          <w:b/>
          <w:sz w:val="22"/>
        </w:rPr>
        <w:t xml:space="preserve">Tahap 3: </w:t>
      </w:r>
      <w:r>
        <w:rPr>
          <w:rFonts w:ascii="Times New Roman" w:hAnsi="Times New Roman"/>
          <w:sz w:val="22"/>
        </w:rPr>
        <w:t>Penggabungan konsensus probabilitas keputusan.</w:t>
      </w:r>
    </w:p>
    <w:p>
      <w:pPr>
        <w:spacing w:before="0" w:after="100" w:line="276" w:lineRule="auto"/>
        <w:jc w:val="both"/>
      </w:pPr>
      <w:r>
        <w:rPr>
          <w:rFonts w:ascii="Times New Roman" w:hAnsi="Times New Roman"/>
          <w:i w:val="0"/>
          <w:sz w:val="22"/>
        </w:rPr>
        <w:t>Model berhasil mencapai akurasi training sebesar 99.38% pada seluruh 50.000 sampel training CIFAR-10.</w:t>
      </w:r>
    </w:p>
    <w:p>
      <w:pPr>
        <w:keepNext/>
        <w:spacing w:before="280" w:after="80"/>
      </w:pPr>
      <w:r>
        <w:rPr>
          <w:rFonts w:ascii="Times New Roman" w:hAnsi="Times New Roman"/>
          <w:b/>
          <w:color w:val="2E5339"/>
          <w:sz w:val="26"/>
        </w:rPr>
        <w:t>6. Penyimpanan Artefak</w:t>
      </w:r>
    </w:p>
    <w:p>
      <w:pPr>
        <w:spacing w:before="0" w:after="100" w:line="276" w:lineRule="auto"/>
        <w:jc w:val="both"/>
      </w:pPr>
      <w:r>
        <w:rPr>
          <w:rFonts w:ascii="Times New Roman" w:hAnsi="Times New Roman"/>
          <w:i w:val="0"/>
          <w:sz w:val="22"/>
        </w:rPr>
        <w:t>Seluruh artefak hasil eksperimen Alur 4 berhasil disimpan ke direktori cifar10_artifacts/rgb_avg_ntsc/:</w:t>
      </w:r>
    </w:p>
    <w:p>
      <w:pPr>
        <w:pStyle w:val="ListBullet"/>
        <w:spacing w:before="0" w:after="60" w:line="276" w:lineRule="auto"/>
        <w:jc w:val="both"/>
      </w:pPr>
      <w:r>
        <w:rPr>
          <w:rFonts w:ascii="Times New Roman" w:hAnsi="Times New Roman"/>
          <w:b/>
          <w:sz w:val="22"/>
        </w:rPr>
        <w:t xml:space="preserve">Artefak Fitur: </w:t>
      </w:r>
      <w:r>
        <w:rPr>
          <w:rFonts w:ascii="Times New Roman" w:hAnsi="Times New Roman"/>
          <w:sz w:val="22"/>
        </w:rPr>
        <w:t>train_features.npz (50.000 x 1536) dan test_features.npz (10.000 x 1536)</w:t>
      </w:r>
    </w:p>
    <w:p>
      <w:pPr>
        <w:pStyle w:val="ListBullet"/>
        <w:spacing w:before="0" w:after="60" w:line="276" w:lineRule="auto"/>
        <w:jc w:val="both"/>
      </w:pPr>
      <w:r>
        <w:rPr>
          <w:rFonts w:ascii="Times New Roman" w:hAnsi="Times New Roman"/>
          <w:b/>
          <w:sz w:val="22"/>
        </w:rPr>
        <w:t xml:space="preserve">Artefak Scaler: </w:t>
      </w:r>
      <w:r>
        <w:rPr>
          <w:rFonts w:ascii="Times New Roman" w:hAnsi="Times New Roman"/>
          <w:sz w:val="22"/>
        </w:rPr>
        <w:t>scaler.pkl (objek FusedDomainPreprocessor lengkap dengan bobot domain dan parameter normalisasi)</w:t>
      </w:r>
    </w:p>
    <w:p>
      <w:pPr>
        <w:pStyle w:val="ListBullet"/>
        <w:spacing w:before="0" w:after="60" w:line="276" w:lineRule="auto"/>
        <w:jc w:val="both"/>
      </w:pPr>
      <w:r>
        <w:rPr>
          <w:rFonts w:ascii="Times New Roman" w:hAnsi="Times New Roman"/>
          <w:b/>
          <w:sz w:val="22"/>
        </w:rPr>
        <w:t xml:space="preserve">Artefak Classifier: </w:t>
      </w:r>
      <w:r>
        <w:rPr>
          <w:rFonts w:ascii="Times New Roman" w:hAnsi="Times New Roman"/>
          <w:sz w:val="22"/>
        </w:rPr>
        <w:t>svm_model.pkl (objek Consensus SVM Classifier terlatih)</w:t>
      </w:r>
    </w:p>
    <w:p>
      <w:pPr>
        <w:pStyle w:val="ListBullet"/>
        <w:spacing w:before="0" w:after="60" w:line="276" w:lineRule="auto"/>
        <w:jc w:val="both"/>
      </w:pPr>
      <w:r>
        <w:rPr>
          <w:rFonts w:ascii="Times New Roman" w:hAnsi="Times New Roman"/>
          <w:b/>
          <w:sz w:val="22"/>
        </w:rPr>
        <w:t xml:space="preserve">Artefak Metadata: </w:t>
      </w:r>
      <w:r>
        <w:rPr>
          <w:rFonts w:ascii="Times New Roman" w:hAnsi="Times New Roman"/>
          <w:sz w:val="22"/>
        </w:rPr>
        <w:t>metadata.json (catatan konfigurasi hyperparameter dan riwayat seleksi)</w:t>
      </w:r>
    </w:p>
    <w:p>
      <w:pPr>
        <w:keepNext/>
        <w:spacing w:before="280" w:after="80"/>
      </w:pPr>
      <w:r>
        <w:rPr>
          <w:rFonts w:ascii="Times New Roman" w:hAnsi="Times New Roman"/>
          <w:b/>
          <w:color w:val="2E5339"/>
          <w:sz w:val="26"/>
        </w:rPr>
        <w:t>7. Kesimpulan</w:t>
      </w:r>
    </w:p>
    <w:p>
      <w:pPr>
        <w:spacing w:before="0" w:after="100" w:line="276" w:lineRule="auto"/>
        <w:jc w:val="both"/>
      </w:pPr>
      <w:r>
        <w:rPr>
          <w:rFonts w:ascii="Times New Roman" w:hAnsi="Times New Roman"/>
          <w:i w:val="0"/>
          <w:sz w:val="22"/>
        </w:rPr>
        <w:t>Feature Engineering melalui Multi-Domain Concatenative Fusion (1.536-D) berhasil memadukan keunggulan tiga representasi citra yang berbeda. Dengan preprocessing terbobot dan normalisasi L2, model SVM mencapai akurasi validasi 94.50% dan akurasi training 99.38%, menunjukkan kesiapan optimal untuk evaluasi akhir pada 10.000 data testing.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