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2E5339"/>
          <w:sz w:val="28"/>
        </w:rPr>
        <w:t>LAPORAN PRAKTIKUM PERTEMUAN 7</w:t>
        <w:br/>
        <w:t>ALUR 4: PENGUJIAN AKHIR SVM FITUR FUSI &amp; MASTER ACCURACY COMPARISON (&gt;95%)</w:t>
      </w:r>
    </w:p>
    <w:p>
      <w:pPr>
        <w:spacing w:before="80" w:after="280"/>
        <w:jc w:val="center"/>
      </w:pPr>
      <w:r>
        <w:rPr>
          <w:rFonts w:ascii="Times New Roman" w:hAnsi="Times New Roman"/>
          <w:b/>
          <w:sz w:val="24"/>
        </w:rPr>
        <w:t>Evaluasi Akhir SVM pada 10.000 Test Set Fitur Gabungan (1.536-D) &amp; Analisis Lintas Alur</w:t>
        <w:br/>
        <w:t>(Notebook: 8_Fusion_test.ipynb)</w:t>
      </w:r>
    </w:p>
    <w:p>
      <w:pPr>
        <w:spacing w:before="160" w:after="480"/>
        <w:jc w:val="center"/>
      </w:pPr>
      <w:r>
        <w:rPr>
          <w:rFonts w:ascii="Times New Roman" w:hAnsi="Times New Roman"/>
          <w:sz w:val="24"/>
        </w:rPr>
        <w:t>Mata Kuliah: Big Data Analytic</w:t>
        <w:br/>
        <w:t>Dosen Pengampu: Bayu Adi Nugroho, Ph.D</w:t>
      </w:r>
    </w:p>
    <w:p>
      <w:pPr>
        <w:spacing w:before="200" w:after="560"/>
        <w:jc w:val="center"/>
      </w:pPr>
      <w:r>
        <w:drawing>
          <wp:inline xmlns:a="http://schemas.openxmlformats.org/drawingml/2006/main" xmlns:pic="http://schemas.openxmlformats.org/drawingml/2006/picture">
            <wp:extent cx="2011680" cy="1563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n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563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jc w:val="center"/>
      </w:pPr>
      <w:r>
        <w:rPr>
          <w:rFonts w:ascii="Times New Roman" w:hAnsi="Times New Roman"/>
          <w:b/>
          <w:sz w:val="24"/>
        </w:rPr>
        <w:t>Disusun Oleh:</w:t>
      </w:r>
    </w:p>
    <w:p>
      <w:pPr>
        <w:spacing w:before="0" w:after="640"/>
        <w:jc w:val="center"/>
      </w:pPr>
      <w:r>
        <w:rPr>
          <w:rFonts w:ascii="Times New Roman" w:hAnsi="Times New Roman"/>
          <w:b/>
          <w:sz w:val="24"/>
        </w:rPr>
        <w:t>Daffa Danendra Fairuzza – 09020624026</w:t>
      </w:r>
    </w:p>
    <w:p>
      <w:pPr>
        <w:spacing w:before="400" w:after="0"/>
        <w:jc w:val="center"/>
      </w:pPr>
      <w:r>
        <w:rPr>
          <w:rFonts w:ascii="Times New Roman" w:hAnsi="Times New Roman"/>
          <w:b/>
          <w:sz w:val="24"/>
        </w:rPr>
        <w:t>PROGRAM STUDI SISTEM INFORMASI</w:t>
        <w:br/>
        <w:t>FAKULTAS SAINS DAN TEKNOLOGI</w:t>
        <w:br/>
        <w:t>UNIVERSITAS ISLAM NEGERI SUNAN AMPEL SURABAYA</w:t>
        <w:br/>
        <w:t>2026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BF2E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E5339"/>
              <w:top w:val="none"/>
              <w:bottom w:val="none"/>
              <w:right w:val="none"/>
            </w:tcBorders>
          </w:tcPr>
          <w:p>
            <w:pPr>
              <w:spacing w:before="0" w:after="0" w:line="276" w:lineRule="auto"/>
              <w:jc w:val="both"/>
            </w:pPr>
            <w:r>
              <w:rPr>
                <w:rFonts w:ascii="Times New Roman" w:hAnsi="Times New Roman"/>
                <w:b/>
                <w:color w:val="2E5339"/>
                <w:sz w:val="21"/>
              </w:rPr>
              <w:t xml:space="preserve">💡 PENCAPAIAN TARGET AKADEMIK (AKURASI 95.14% &gt;= 95.00%): </w:t>
            </w:r>
            <w:r>
              <w:rPr>
                <w:rFonts w:ascii="Times New Roman" w:hAnsi="Times New Roman"/>
                <w:sz w:val="21"/>
              </w:rPr>
              <w:t>Pencapaian Akurasi Testing Sebesar 95.14% pada 10.000 sampel data uji murni CIFAR-10 membuktikan bahwa kombinasi Feature Engineering Multi-Domain (RGB + AVG + NTSC 1.536-D) dan SVM Classifier berhasil melampaui target praktikum (&gt;= 95.00%) tanpa menggunakan model pretrained eksternal (Custom CNN murni).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1. Identitas dan Lingkungan Pengujian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4514"/>
        <w:gridCol w:w="4514"/>
      </w:tblGrid>
      <w:tr>
        <w:tc>
          <w:tcPr>
            <w:tcW w:type="dxa" w:w="34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Parameter / Komponen</w:t>
            </w:r>
          </w:p>
        </w:tc>
        <w:tc>
          <w:tcPr>
            <w:tcW w:type="dxa" w:w="5573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Keterangan Spesifikasi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Nama Notebook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8_Fusion_test.ipynb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Format Data Pengujian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10.000 Sampel Test Set Gabungan Multi-Domain (10000, 1536)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Model Preprocessor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FusedDomainPreprocessor dari cifar10_artifacts/rgb_avg_ntsc/scaler.pkl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Model Classifier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Consensus SVM Classifier dari cifar10_artifacts/rgb_avg_ntsc/svm_model.pkl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Target Akurasi Praktikum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&gt;= 95.00% pada 10.000 Test Set Resmi CIFAR-10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Hasil Akurasi Riil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95.14% (TERCAPAI &amp; TERLAMPAUI)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Macro / Weighted F1-Score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95.14% / 95.14%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2. Tujuan Praktikum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2"/>
        </w:rPr>
        <w:t xml:space="preserve">1. Pemuatan Artefak: </w:t>
      </w:r>
      <w:r>
        <w:rPr>
          <w:rFonts w:ascii="Times New Roman" w:hAnsi="Times New Roman"/>
          <w:sz w:val="22"/>
        </w:rPr>
        <w:t>Memuat preprocessor dan model final SVM fitur fusi dari disk.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2"/>
        </w:rPr>
        <w:t xml:space="preserve">2. Inferensi Mandiri: </w:t>
      </w:r>
      <w:r>
        <w:rPr>
          <w:rFonts w:ascii="Times New Roman" w:hAnsi="Times New Roman"/>
          <w:sz w:val="22"/>
        </w:rPr>
        <w:t>Menjalankan inferensi murni pada seluruh 10.000 data test fitur gabungan 1.536 dimensi.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2"/>
        </w:rPr>
        <w:t xml:space="preserve">3. Evaluasi Metrik: </w:t>
      </w:r>
      <w:r>
        <w:rPr>
          <w:rFonts w:ascii="Times New Roman" w:hAnsi="Times New Roman"/>
          <w:sz w:val="22"/>
        </w:rPr>
        <w:t>Mengevaluasi metrik klasifikasi komprehensif (Precision, Recall, F1-Score per kelas) dan Confusion Matrix 10x10.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2"/>
        </w:rPr>
        <w:t xml:space="preserve">4. Master Comparison: </w:t>
      </w:r>
      <w:r>
        <w:rPr>
          <w:rFonts w:ascii="Times New Roman" w:hAnsi="Times New Roman"/>
          <w:sz w:val="22"/>
        </w:rPr>
        <w:t>Menyajikan analisis komparasi master yang membandingkan performa seluruh alur (Alur 1 s/d Alur 4) terhadap target 95.00%.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3. Hasil Evaluasi Akhir SVM Fitur Fusi (10.000 Test Set)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Inferensi SVM pada fitur gabungan yang telah distandarisasi menghasilkan akurasi sebesar 95.14% dengan Macro F1-Score 95.14% dan Weighted F1-Score 95.14%. Tabel berikut menyajikan Classification Report lengkap untuk seluruh 10 kelas objek: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2160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368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368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368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224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  <w:tc>
          <w:tcPr>
            <w:tcW w:type="dxa" w:w="1541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Status Target (&gt;=95%)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0.9534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0.9610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0.9572</w:t>
            </w:r>
          </w:p>
        </w:tc>
        <w:tc>
          <w:tcPr>
            <w:tcW w:type="dxa" w:w="12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  <w:tc>
          <w:tcPr>
            <w:tcW w:type="dxa" w:w="154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Terlampaui (95.7%)</w:t>
            </w:r>
          </w:p>
        </w:tc>
      </w:tr>
      <w:tr>
        <w:tc>
          <w:tcPr>
            <w:tcW w:type="dxa" w:w="216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0.9732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0.9790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0.9761</w:t>
            </w:r>
          </w:p>
        </w:tc>
        <w:tc>
          <w:tcPr>
            <w:tcW w:type="dxa" w:w="122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  <w:tc>
          <w:tcPr>
            <w:tcW w:type="dxa" w:w="1541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Sangat Tinggi (97.6%)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0.9446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0.9380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0.9413</w:t>
            </w:r>
          </w:p>
        </w:tc>
        <w:tc>
          <w:tcPr>
            <w:tcW w:type="dxa" w:w="12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  <w:tc>
          <w:tcPr>
            <w:tcW w:type="dxa" w:w="154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Tinggi (94.1%)</w:t>
            </w:r>
          </w:p>
        </w:tc>
      </w:tr>
      <w:tr>
        <w:tc>
          <w:tcPr>
            <w:tcW w:type="dxa" w:w="216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0.8911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0.8840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0.8876</w:t>
            </w:r>
          </w:p>
        </w:tc>
        <w:tc>
          <w:tcPr>
            <w:tcW w:type="dxa" w:w="122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  <w:tc>
          <w:tcPr>
            <w:tcW w:type="dxa" w:w="1541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Meningkat Signifikan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0.9437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0.9560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0.9498</w:t>
            </w:r>
          </w:p>
        </w:tc>
        <w:tc>
          <w:tcPr>
            <w:tcW w:type="dxa" w:w="12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  <w:tc>
          <w:tcPr>
            <w:tcW w:type="dxa" w:w="154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Mendekati 95% (95.0%)</w:t>
            </w:r>
          </w:p>
        </w:tc>
      </w:tr>
      <w:tr>
        <w:tc>
          <w:tcPr>
            <w:tcW w:type="dxa" w:w="216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0.9168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0.9140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0.9154</w:t>
            </w:r>
          </w:p>
        </w:tc>
        <w:tc>
          <w:tcPr>
            <w:tcW w:type="dxa" w:w="122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  <w:tc>
          <w:tcPr>
            <w:tcW w:type="dxa" w:w="1541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Kuat (91.5%)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0.9681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0.9720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0.9701</w:t>
            </w:r>
          </w:p>
        </w:tc>
        <w:tc>
          <w:tcPr>
            <w:tcW w:type="dxa" w:w="12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  <w:tc>
          <w:tcPr>
            <w:tcW w:type="dxa" w:w="154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Sangat Tinggi (97.0%)</w:t>
            </w:r>
          </w:p>
        </w:tc>
      </w:tr>
      <w:tr>
        <w:tc>
          <w:tcPr>
            <w:tcW w:type="dxa" w:w="216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0.9827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0.9650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0.9738</w:t>
            </w:r>
          </w:p>
        </w:tc>
        <w:tc>
          <w:tcPr>
            <w:tcW w:type="dxa" w:w="122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  <w:tc>
          <w:tcPr>
            <w:tcW w:type="dxa" w:w="1541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Sangat Tinggi (97.4%)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0.9691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0.9730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0.9711</w:t>
            </w:r>
          </w:p>
        </w:tc>
        <w:tc>
          <w:tcPr>
            <w:tcW w:type="dxa" w:w="12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  <w:tc>
          <w:tcPr>
            <w:tcW w:type="dxa" w:w="154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Sangat Tinggi (97.1%)</w:t>
            </w:r>
          </w:p>
        </w:tc>
      </w:tr>
      <w:tr>
        <w:tc>
          <w:tcPr>
            <w:tcW w:type="dxa" w:w="216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0.9710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0.9720</w:t>
            </w:r>
          </w:p>
        </w:tc>
        <w:tc>
          <w:tcPr>
            <w:tcW w:type="dxa" w:w="136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0.9715</w:t>
            </w:r>
          </w:p>
        </w:tc>
        <w:tc>
          <w:tcPr>
            <w:tcW w:type="dxa" w:w="122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  <w:tc>
          <w:tcPr>
            <w:tcW w:type="dxa" w:w="1541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Sangat Tinggi (97.2%)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Rata-rata Keseluruhan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0.9514 (Macro)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0.9514 (Macro)</w:t>
            </w:r>
          </w:p>
        </w:tc>
        <w:tc>
          <w:tcPr>
            <w:tcW w:type="dxa" w:w="13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0.9514 (Macro)</w:t>
            </w:r>
          </w:p>
        </w:tc>
        <w:tc>
          <w:tcPr>
            <w:tcW w:type="dxa" w:w="12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  <w:tc>
          <w:tcPr>
            <w:tcW w:type="dxa" w:w="154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SUKSES (&gt; 95.00%)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359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Fusion_test_c5_im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35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1: Confusion Matrix SVM Feature Fusion pada 10.000 Test Set CIFAR-10 (Akurasi 95.14%)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4. Diagram Master Akurasi dan Analisis Perbandingan Lintas Alur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Tabel perbandingan master berikut merangkum performa seluruh alur eksperimen yang telah dilakukan sepanjang praktikum: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57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872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Alur Eksperimen</w:t>
            </w:r>
          </w:p>
        </w:tc>
        <w:tc>
          <w:tcPr>
            <w:tcW w:type="dxa" w:w="2592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Representasi / Metode</w:t>
            </w:r>
          </w:p>
        </w:tc>
        <w:tc>
          <w:tcPr>
            <w:tcW w:type="dxa" w:w="129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Akurasi CNN</w:t>
            </w:r>
          </w:p>
        </w:tc>
        <w:tc>
          <w:tcPr>
            <w:tcW w:type="dxa" w:w="129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Akurasi SVM</w:t>
            </w:r>
          </w:p>
        </w:tc>
        <w:tc>
          <w:tcPr>
            <w:tcW w:type="dxa" w:w="129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Target (&gt;=95%)</w:t>
            </w:r>
          </w:p>
        </w:tc>
        <w:tc>
          <w:tcPr>
            <w:tcW w:type="dxa" w:w="1541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Status Capaian</w:t>
            </w:r>
          </w:p>
        </w:tc>
      </w:tr>
      <w:tr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Alur 1 (RGB)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3 Saluran Warna Primer (512-D)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92.25% (92.31%)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92.72% (93.20%)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95.00%</w:t>
            </w:r>
          </w:p>
        </w:tc>
        <w:tc>
          <w:tcPr>
            <w:tcW w:type="dxa" w:w="154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Baseline Unggul</w:t>
            </w:r>
          </w:p>
        </w:tc>
      </w:tr>
      <w:tr>
        <w:tc>
          <w:tcPr>
            <w:tcW w:type="dxa" w:w="57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1872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Alur 2 (Grayscale AVG)</w:t>
            </w:r>
          </w:p>
        </w:tc>
        <w:tc>
          <w:tcPr>
            <w:tcW w:type="dxa" w:w="2592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Rata-rata Aritmatika (R+G+B)/3 (512-D)</w:t>
            </w:r>
          </w:p>
        </w:tc>
        <w:tc>
          <w:tcPr>
            <w:tcW w:type="dxa" w:w="129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87.27% (90.48%)</w:t>
            </w:r>
          </w:p>
        </w:tc>
        <w:tc>
          <w:tcPr>
            <w:tcW w:type="dxa" w:w="129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88.99% (91.78%)</w:t>
            </w:r>
          </w:p>
        </w:tc>
        <w:tc>
          <w:tcPr>
            <w:tcW w:type="dxa" w:w="129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95.00%</w:t>
            </w:r>
          </w:p>
        </w:tc>
        <w:tc>
          <w:tcPr>
            <w:tcW w:type="dxa" w:w="1541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Invarian Kromatisitas</w:t>
            </w:r>
          </w:p>
        </w:tc>
      </w:tr>
      <w:tr>
        <w:tc>
          <w:tcPr>
            <w:tcW w:type="dxa" w:w="57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Alur 3 (Grayscale NTSC)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Luminansi Fisiologis (512-D)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83.91% (90.56%)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88.26% (91.45%)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95.00%</w:t>
            </w:r>
          </w:p>
        </w:tc>
        <w:tc>
          <w:tcPr>
            <w:tcW w:type="dxa" w:w="154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Kontras Tekstural Alami</w:t>
            </w:r>
          </w:p>
        </w:tc>
      </w:tr>
      <w:tr>
        <w:tc>
          <w:tcPr>
            <w:tcW w:type="dxa" w:w="57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1872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Alur 4 (Feature Fusion)</w:t>
            </w:r>
          </w:p>
        </w:tc>
        <w:tc>
          <w:tcPr>
            <w:tcW w:type="dxa" w:w="2592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Multi-Domain Fused (1.536-D) + SVM</w:t>
            </w:r>
          </w:p>
        </w:tc>
        <w:tc>
          <w:tcPr>
            <w:tcW w:type="dxa" w:w="129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129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95.14%</w:t>
            </w:r>
          </w:p>
        </w:tc>
        <w:tc>
          <w:tcPr>
            <w:tcW w:type="dxa" w:w="129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95.00%</w:t>
            </w:r>
          </w:p>
        </w:tc>
        <w:tc>
          <w:tcPr>
            <w:tcW w:type="dxa" w:w="1541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🏆 TERLAMPAUI (&gt; 95%)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26746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Fusion_test_c7_im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74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2: Diagram Perbandingan Master Akurasi Semua Alur Eksperimen CIFAR-10 terhadap Target 95.00%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5. Pembahasan Teoretis 7 Feature Engineering Terintegrasi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Keberhasilan melampaui batas ambang 95.00% pada dataset CIFAR-10 menggunakan Custom CNN (tanpa pretrained transfer learning) didorong oleh integrasi 7 konsep Feature Engineering: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2"/>
        </w:rPr>
        <w:t xml:space="preserve">1. Feature Engineering 1 (RGB Multi-Spectral): </w:t>
      </w:r>
      <w:r>
        <w:rPr>
          <w:rFonts w:ascii="Times New Roman" w:hAnsi="Times New Roman"/>
          <w:sz w:val="22"/>
        </w:rPr>
        <w:t>Mempertahankan informasi fotometri asli tiga panjang gelombang yang membedakan objek berdasarkan warna alami.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2"/>
        </w:rPr>
        <w:t xml:space="preserve">2. Feature Engineering 2 (Grayscale Arithmetic Average): </w:t>
      </w:r>
      <w:r>
        <w:rPr>
          <w:rFonts w:ascii="Times New Roman" w:hAnsi="Times New Roman"/>
          <w:sz w:val="22"/>
        </w:rPr>
        <w:t>Menghilangkan bias kromatik dan memaksa model mengekstraksi geometri bentuk objek.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2"/>
        </w:rPr>
        <w:t xml:space="preserve">3. Feature Engineering 3 (Grayscale Perceptual Luminance): </w:t>
      </w:r>
      <w:r>
        <w:rPr>
          <w:rFonts w:ascii="Times New Roman" w:hAnsi="Times New Roman"/>
          <w:sz w:val="22"/>
        </w:rPr>
        <w:t>Mempertahankan kontras perseptual mata manusia untuk memperjelas batas tekstur halus.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2"/>
        </w:rPr>
        <w:t xml:space="preserve">4. Feature Engineering 4 (Multi-Domain Concatenative Fusion): </w:t>
      </w:r>
      <w:r>
        <w:rPr>
          <w:rFonts w:ascii="Times New Roman" w:hAnsi="Times New Roman"/>
          <w:sz w:val="22"/>
        </w:rPr>
        <w:t>Menggabungkan ketiga representasi menjadi ruang vektor komprehensif 1.536 dimensi yang saling mengoreksi kelemahan masing-masing domain.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2"/>
        </w:rPr>
        <w:t xml:space="preserve">5. Feature Engineering 5 (L2-Hyperspherical Normalization): </w:t>
      </w:r>
      <w:r>
        <w:rPr>
          <w:rFonts w:ascii="Times New Roman" w:hAnsi="Times New Roman"/>
          <w:sz w:val="22"/>
        </w:rPr>
        <w:t>Memproyeksikan vektor fitur ke permukaan bola satuan (||x||_2 = 1) sehingga jarak Euclidean RBF bertransformasi menjadi sudut cosinus.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2"/>
        </w:rPr>
        <w:t xml:space="preserve">6. Feature Engineering 6 (High-Dimensional SVM Margin Maximization): </w:t>
      </w:r>
      <w:r>
        <w:rPr>
          <w:rFonts w:ascii="Times New Roman" w:hAnsi="Times New Roman"/>
          <w:sz w:val="22"/>
        </w:rPr>
        <w:t>Menemukan hyperplane pemisah dengan margin terlebar yang mampu mengangkat akurasi pada pasangan kelas sulit (seperti cat vs dog).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2"/>
        </w:rPr>
        <w:t xml:space="preserve">7. Feature Engineering 7 (Consensus Model Pipeline): </w:t>
      </w:r>
      <w:r>
        <w:rPr>
          <w:rFonts w:ascii="Times New Roman" w:hAnsi="Times New Roman"/>
          <w:sz w:val="22"/>
        </w:rPr>
        <w:t>Mengemas pipeline Feature Extractor dan Classifier secara modular ke dalam arsitektur yang terpadu dan efisien.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6. Kesimpulan Akhir Praktikum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Seluruh rangkaian eksperimen pada tugas ini telah diselesaikan dengan hasil yang sangat memuaskan. Pendekatan Feature Engineering melalui Multi-Domain Feature Fusion (1.536-D) yang dipadukan dengan SVM Classifier sukses meraih akurasi pengujian sebesar 95.14% pada 10.000 data test resmi CIFAR-10. Hasil ini secara meyakinkan melampaui target minimum praktikum (&gt;= 95.00%), membuktikan bahwa Custom Deep CNN murni yang dipadukan dengan rekayasa fitur multi-domain mampu menandingi dan bahkan melampaui arsitektur transfer learning standar.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