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GRAYSCALE NTSC TRAINING</w:t>
      </w:r>
    </w:p>
    <w:p>
      <w:pPr>
        <w:spacing w:before="80" w:after="280"/>
        <w:jc w:val="center"/>
      </w:pPr>
      <w:r>
        <w:rPr>
          <w:rFonts w:ascii="Times New Roman" w:hAnsi="Times New Roman"/>
          <w:b/>
          <w:sz w:val="24"/>
        </w:rPr>
        <w:t>Pelatihan Custom Deep Residual CNN pada Citra Luminansi Perseptual ITU-R BT.601 dan Penalaan SVM</w:t>
        <w:br/>
        <w:t>(5_GrayNTSC_train.ipynb)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EKSPERIMEN DOMAIN LUMINANSI PERSEPTUAL (ITU-R BT.601): </w:t>
            </w:r>
            <w:r>
              <w:rPr>
                <w:rFonts w:ascii="Times New Roman" w:hAnsi="Times New Roman"/>
                <w:sz w:val="21"/>
              </w:rPr>
              <w:t>Eksperimen Alur 3 memanfaatkan transformasi Grayscale Perceptual Luminance berdasarkan standar rekomendasi ITU-R BT.601 (NTSC). Konversi ini memperhitungkan sensitivitas fisiologis retina mata manusia yang lebih peka terhadap spektrum cahaya hijau untuk mempertahankan ketajaman kontras tekstur.</w:t>
            </w:r>
          </w:p>
        </w:tc>
      </w:tr>
    </w:tbl>
    <w:p>
      <w:pPr>
        <w:spacing w:before="0" w:after="80"/>
      </w:pPr>
    </w:p>
    <w:p>
      <w:pPr>
        <w:keepNext/>
        <w:spacing w:before="280" w:after="80"/>
      </w:pPr>
      <w:r>
        <w:rPr>
          <w:rFonts w:ascii="Times New Roman" w:hAnsi="Times New Roman"/>
          <w:b/>
          <w:color w:val="2E5339"/>
          <w:sz w:val="26"/>
        </w:rPr>
        <w:t>1. Tujuan Praktikum</w:t>
      </w:r>
    </w:p>
    <w:p>
      <w:pPr>
        <w:spacing w:before="0" w:after="100" w:line="276" w:lineRule="auto"/>
        <w:jc w:val="both"/>
      </w:pPr>
      <w:r>
        <w:rPr>
          <w:rFonts w:ascii="Times New Roman" w:hAnsi="Times New Roman"/>
          <w:i w:val="0"/>
          <w:sz w:val="23"/>
        </w:rPr>
        <w:t>Praktikum ini bertujuan untuk mengeksplorasi pemanfaatan representasi monokromatik berbasis bobot luminansi perseptual standar ITU-R BT.601 (sering disebut sebagai Grayscale NTSC/PAL) dalam pelatihan Custom CNN dan SVM Classifier. Fokus utama penelitian ini adalah menguji apakah penyesuaian bobot spektral yang menyerupai kurva sensitivitas fotoreseptor mata manusia mampu menghasilkan representasi fitur yang lebih diskriminatif dibandingkan metode rata-rata aritmatika tak berbobot.</w:t>
      </w:r>
    </w:p>
    <w:p>
      <w:pPr>
        <w:spacing w:before="0" w:after="100" w:line="276" w:lineRule="auto"/>
        <w:jc w:val="both"/>
      </w:pPr>
      <w:r>
        <w:rPr>
          <w:rFonts w:ascii="Times New Roman" w:hAnsi="Times New Roman"/>
          <w:i w:val="0"/>
          <w:sz w:val="23"/>
        </w:rPr>
        <w:t>Secara teoretis, pembobotan non-seragam pada spektrum tampak memungkinkan retensi kontras lokal yang lebih tajam pada objek yang berada di latar belakang vegetasi alami, memfasilitasi filter konvolusi dalam mendeteksi kontur mikro.</w:t>
      </w:r>
    </w:p>
    <w:p>
      <w:pPr>
        <w:spacing w:before="0" w:after="100" w:line="276" w:lineRule="auto"/>
        <w:jc w:val="both"/>
      </w:pPr>
      <w:r>
        <w:rPr>
          <w:rFonts w:ascii="Times New Roman" w:hAnsi="Times New Roman"/>
          <w:i w:val="0"/>
          <w:sz w:val="23"/>
        </w:rPr>
        <w:t>Tujuan teknis praktikum ini dirumuskan sebagai berikut:</w:t>
      </w:r>
    </w:p>
    <w:p>
      <w:pPr>
        <w:pStyle w:val="ListBullet"/>
        <w:spacing w:before="0" w:after="60" w:line="276" w:lineRule="auto"/>
        <w:jc w:val="both"/>
      </w:pPr>
      <w:r>
        <w:rPr>
          <w:rFonts w:ascii="Times New Roman" w:hAnsi="Times New Roman"/>
          <w:b/>
          <w:sz w:val="23"/>
        </w:rPr>
        <w:t xml:space="preserve">1. Transformasi Luminansi BT.601: </w:t>
      </w:r>
      <w:r>
        <w:rPr>
          <w:rFonts w:ascii="Times New Roman" w:hAnsi="Times New Roman"/>
          <w:sz w:val="23"/>
        </w:rPr>
        <w:t>Menerapkan transformasi konversi luminansi perseptual Y = 0.2989*R + 0.5870*G + 0.1140*B pada 50.000 citra pelatihan CIFAR-10.</w:t>
      </w:r>
    </w:p>
    <w:p>
      <w:pPr>
        <w:pStyle w:val="ListBullet"/>
        <w:spacing w:before="0" w:after="60" w:line="276" w:lineRule="auto"/>
        <w:jc w:val="both"/>
      </w:pPr>
      <w:r>
        <w:rPr>
          <w:rFonts w:ascii="Times New Roman" w:hAnsi="Times New Roman"/>
          <w:b/>
          <w:sz w:val="23"/>
        </w:rPr>
        <w:t xml:space="preserve">2. Pelatihan Custom CNN NTSC: </w:t>
      </w:r>
      <w:r>
        <w:rPr>
          <w:rFonts w:ascii="Times New Roman" w:hAnsi="Times New Roman"/>
          <w:sz w:val="23"/>
        </w:rPr>
        <w:t>Melatih arsitektur Custom CNN 1-kanal (custom_cnn_ntsc) from scratch tanpa bobot pretrained.</w:t>
      </w:r>
    </w:p>
    <w:p>
      <w:pPr>
        <w:pStyle w:val="ListBullet"/>
        <w:spacing w:before="0" w:after="60" w:line="276" w:lineRule="auto"/>
        <w:jc w:val="both"/>
      </w:pPr>
      <w:r>
        <w:rPr>
          <w:rFonts w:ascii="Times New Roman" w:hAnsi="Times New Roman"/>
          <w:b/>
          <w:sz w:val="23"/>
        </w:rPr>
        <w:t xml:space="preserve">3. Ekstraksi Fitur Laten 512-D: </w:t>
      </w:r>
      <w:r>
        <w:rPr>
          <w:rFonts w:ascii="Times New Roman" w:hAnsi="Times New Roman"/>
          <w:sz w:val="23"/>
        </w:rPr>
        <w:t>Mengekstrak vektor fitur laten 512-D berketajaman tinggi via GlobalAveragePooling2D dengan TTA.</w:t>
      </w:r>
    </w:p>
    <w:p>
      <w:pPr>
        <w:pStyle w:val="ListBullet"/>
        <w:spacing w:before="0" w:after="60" w:line="276" w:lineRule="auto"/>
        <w:jc w:val="both"/>
      </w:pPr>
      <w:r>
        <w:rPr>
          <w:rFonts w:ascii="Times New Roman" w:hAnsi="Times New Roman"/>
          <w:b/>
          <w:sz w:val="23"/>
        </w:rPr>
        <w:t xml:space="preserve">4. Penalaan &amp; Pelatihan SVM: </w:t>
      </w:r>
      <w:r>
        <w:rPr>
          <w:rFonts w:ascii="Times New Roman" w:hAnsi="Times New Roman"/>
          <w:sz w:val="23"/>
        </w:rPr>
        <w:t>Melakukan penalaan sistematis hyperparameter SVM RBF Classifier pada partisi validasi independen.</w:t>
      </w:r>
    </w:p>
    <w:p>
      <w:pPr>
        <w:pStyle w:val="ListBullet"/>
        <w:spacing w:before="0" w:after="60" w:line="276" w:lineRule="auto"/>
        <w:jc w:val="both"/>
      </w:pPr>
      <w:r>
        <w:rPr>
          <w:rFonts w:ascii="Times New Roman" w:hAnsi="Times New Roman"/>
          <w:b/>
          <w:sz w:val="23"/>
        </w:rPr>
        <w:t xml:space="preserve">5. Analisis Perbandingan Teoretis: </w:t>
      </w:r>
      <w:r>
        <w:rPr>
          <w:rFonts w:ascii="Times New Roman" w:hAnsi="Times New Roman"/>
          <w:sz w:val="23"/>
        </w:rPr>
        <w:t>Menganalisis keunggulan retensi kontras tekstur perseptual atas konversi aritmatika biasa.</w:t>
      </w:r>
    </w:p>
    <w:p>
      <w:pPr>
        <w:spacing w:before="0" w:after="100" w:line="276" w:lineRule="auto"/>
        <w:jc w:val="both"/>
      </w:pPr>
      <w:r>
        <w:rPr>
          <w:rFonts w:ascii="Times New Roman" w:hAnsi="Times New Roman"/>
          <w:i w:val="0"/>
          <w:sz w:val="23"/>
        </w:rPr>
        <w:t>Hasil praktikum ini menjadi landasan domain ketiga yang akan dikombinasikan dalam arsitektur fusi multi-domain.</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Mata manusia tidak memiliki sensitivitas yang seragam terhadap seluruh panjang gelombang spektrum tampak. Sel fotoreseptor kerucut (cones) pada retina manusia memiliki konsentrasi pigmen yang paling peka terhadap spektrum hijau (panjang gelombang ~555 nm), diikuti oleh merah, dan paling rendah pada biru. Standar internasional ITU-R BT.601 merefleksikan karakteristik fisiologis ini melalui perumusan luminansi Y:</w:t>
      </w:r>
    </w:p>
    <w:p>
      <w:pPr>
        <w:spacing w:before="0" w:after="100" w:line="276" w:lineRule="auto"/>
        <w:jc w:val="both"/>
      </w:pPr>
      <w:r>
        <w:rPr>
          <w:rFonts w:ascii="Times New Roman" w:hAnsi="Times New Roman"/>
          <w:b/>
          <w:sz w:val="23"/>
        </w:rPr>
        <w:t xml:space="preserve">Formulasi Luminansi ITU-R BT.601: </w:t>
      </w:r>
      <w:r>
        <w:rPr>
          <w:rFonts w:ascii="Times New Roman" w:hAnsi="Times New Roman"/>
          <w:i/>
          <w:sz w:val="23"/>
        </w:rPr>
        <w:t>Y(x, y) = 0.2989 * R(x, y) + 0.5870 * G(x, y) + 0.1140 * B(x, y)</w:t>
      </w:r>
    </w:p>
    <w:p>
      <w:pPr>
        <w:spacing w:before="0" w:after="100" w:line="276" w:lineRule="auto"/>
        <w:jc w:val="both"/>
      </w:pPr>
      <w:r>
        <w:rPr>
          <w:rFonts w:ascii="Times New Roman" w:hAnsi="Times New Roman"/>
          <w:i w:val="0"/>
          <w:sz w:val="23"/>
        </w:rPr>
        <w:t>Keunggulan teoretis dari formulasi perseptual ini mencakup:</w:t>
      </w:r>
    </w:p>
    <w:p>
      <w:pPr>
        <w:pStyle w:val="ListBullet"/>
        <w:spacing w:before="0" w:after="60" w:line="276" w:lineRule="auto"/>
        <w:jc w:val="both"/>
      </w:pPr>
      <w:r>
        <w:rPr>
          <w:rFonts w:ascii="Times New Roman" w:hAnsi="Times New Roman"/>
          <w:b/>
          <w:sz w:val="23"/>
        </w:rPr>
        <w:t xml:space="preserve">Pelestarian Kontras Hijau: </w:t>
      </w:r>
      <w:r>
        <w:rPr>
          <w:rFonts w:ascii="Times New Roman" w:hAnsi="Times New Roman"/>
          <w:sz w:val="23"/>
        </w:rPr>
        <w:t>Kanal hijau diberi bobot tertinggi (58.70%), menjaga detail kontras pada vegetasi, dedaunan, dan tekstur alami yang mendominasi latar belakang dataset visual.</w:t>
      </w:r>
    </w:p>
    <w:p>
      <w:pPr>
        <w:pStyle w:val="ListBullet"/>
        <w:spacing w:before="0" w:after="60" w:line="276" w:lineRule="auto"/>
        <w:jc w:val="both"/>
      </w:pPr>
      <w:r>
        <w:rPr>
          <w:rFonts w:ascii="Times New Roman" w:hAnsi="Times New Roman"/>
          <w:b/>
          <w:sz w:val="23"/>
        </w:rPr>
        <w:t xml:space="preserve">Supresi Noise Biru: </w:t>
      </w:r>
      <w:r>
        <w:rPr>
          <w:rFonts w:ascii="Times New Roman" w:hAnsi="Times New Roman"/>
          <w:sz w:val="23"/>
        </w:rPr>
        <w:t>Kanal biru yang sering kali rentan terhadap noise kromatisitas hanya diberi bobot 11.40%, mereduksi dampak gangguan aberasi kromatik.</w:t>
      </w:r>
    </w:p>
    <w:p>
      <w:pPr>
        <w:pStyle w:val="ListBullet"/>
        <w:spacing w:before="0" w:after="60" w:line="276" w:lineRule="auto"/>
        <w:jc w:val="both"/>
      </w:pPr>
      <w:r>
        <w:rPr>
          <w:rFonts w:ascii="Times New Roman" w:hAnsi="Times New Roman"/>
          <w:b/>
          <w:sz w:val="23"/>
        </w:rPr>
        <w:t xml:space="preserve">Ketajaman Tepi Alami: </w:t>
      </w:r>
      <w:r>
        <w:rPr>
          <w:rFonts w:ascii="Times New Roman" w:hAnsi="Times New Roman"/>
          <w:sz w:val="23"/>
        </w:rPr>
        <w:t>Gradasi intensitas abu-abu yang dihasilkan mempertahankan ketajaman perseptual yang lebih dekat dengan persepsi visual manusia, memfasilitasi ekstraksi tepi oleh filter Sobel/Gabor internal CNN.</w:t>
      </w:r>
    </w:p>
    <w:p>
      <w:pPr>
        <w:pStyle w:val="ListBullet"/>
        <w:spacing w:before="0" w:after="60" w:line="276" w:lineRule="auto"/>
        <w:jc w:val="both"/>
      </w:pPr>
      <w:r>
        <w:rPr>
          <w:rFonts w:ascii="Times New Roman" w:hAnsi="Times New Roman"/>
          <w:b/>
          <w:sz w:val="23"/>
        </w:rPr>
        <w:t xml:space="preserve">Keseimbangan Efisiensi &amp; Kontras: </w:t>
      </w:r>
      <w:r>
        <w:rPr>
          <w:rFonts w:ascii="Times New Roman" w:hAnsi="Times New Roman"/>
          <w:sz w:val="23"/>
        </w:rPr>
        <w:t>Representasi 1-kanal mempertahankan efisiensi memori tensor sebesar 66.7% dibanding RGB, namun memberikan resolusi kontras yang lebih kaya daripada rata-rata sederhana.</w:t>
      </w:r>
    </w:p>
    <w:p>
      <w:pPr>
        <w:spacing w:before="0" w:after="100" w:line="276" w:lineRule="auto"/>
        <w:jc w:val="both"/>
      </w:pPr>
      <w:r>
        <w:rPr>
          <w:rFonts w:ascii="Times New Roman" w:hAnsi="Times New Roman"/>
          <w:i w:val="0"/>
          <w:sz w:val="23"/>
        </w:rPr>
        <w:t>Integrasi representasi luminansi BT.601 dengan algoritma SVM kernel RBF diharapkan mampu mempertajam batas pemisah antarkelas pada ruang fitur 512-D.</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Konfigurasi sistem komputasi yang digunakan untuk pelatihan Alur 3 dirangkum pada tabel berikut: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5_GrayNTSC_train.ipynb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Grayscale NTSC BT.601 (50.000 citra 32x32x1, 10 kelas seimbang)</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(custom_cnn_ntsc), scaler.pkl, svm_model.pkl</w:t>
            </w:r>
          </w:p>
        </w:tc>
      </w:tr>
    </w:tbl>
    <w:p>
      <w:pPr>
        <w:spacing w:before="0" w:after="120"/>
      </w:pPr>
    </w:p>
    <w:p>
      <w:pPr>
        <w:spacing w:before="0" w:after="100" w:line="276" w:lineRule="auto"/>
        <w:jc w:val="both"/>
      </w:pPr>
      <w:r>
        <w:rPr>
          <w:rFonts w:ascii="Times New Roman" w:hAnsi="Times New Roman"/>
          <w:i w:val="0"/>
          <w:sz w:val="23"/>
        </w:rPr>
        <w:t>Seluruh eksperimen dijalankan dengan akselerasi GPU NVIDIA RTX 2050 4GB dengan manajemen memori chunked batch yang stabil dan deterministik.</w:t>
      </w:r>
    </w:p>
    <w:p>
      <w:pPr>
        <w:spacing w:before="0" w:after="100" w:line="276" w:lineRule="auto"/>
        <w:jc w:val="both"/>
      </w:pPr>
      <w:r>
        <w:rPr>
          <w:rFonts w:ascii="Times New Roman" w:hAnsi="Times New Roman"/>
          <w:i w:val="0"/>
          <w:sz w:val="23"/>
        </w:rPr>
        <w:t>Throughput pelatihan mencapai 15.1 detik per epoch dengan pemanfaatan memori VRAM di bawah 1.5 GB.</w:t>
      </w:r>
    </w:p>
    <w:p>
      <w:pPr>
        <w:keepNext/>
        <w:spacing w:before="280" w:after="80"/>
      </w:pPr>
      <w:r>
        <w:rPr>
          <w:rFonts w:ascii="Times New Roman" w:hAnsi="Times New Roman"/>
          <w:b/>
          <w:color w:val="2E5339"/>
          <w:sz w:val="26"/>
        </w:rPr>
        <w:t>4. Dataset CIFAR-10 Grayscale NTSC</w:t>
      </w:r>
    </w:p>
    <w:p>
      <w:pPr>
        <w:spacing w:before="0" w:after="100" w:line="276" w:lineRule="auto"/>
        <w:jc w:val="both"/>
      </w:pPr>
      <w:r>
        <w:rPr>
          <w:rFonts w:ascii="Times New Roman" w:hAnsi="Times New Roman"/>
          <w:i w:val="0"/>
          <w:sz w:val="23"/>
        </w:rPr>
        <w:t>Dataset terdiri dari 50.000 citra pelatihan CIFAR-10 yang telah ditransformasikan ke dalam representasi luminansi bersaluran tunggal (32, 32, 1).</w:t>
      </w:r>
    </w:p>
    <w:p>
      <w:pPr>
        <w:spacing w:before="0" w:after="100" w:line="276" w:lineRule="auto"/>
        <w:jc w:val="both"/>
      </w:pPr>
      <w:r>
        <w:rPr>
          <w:rFonts w:ascii="Times New Roman" w:hAnsi="Times New Roman"/>
          <w:i w:val="0"/>
          <w:sz w:val="23"/>
        </w:rPr>
        <w:t>Keseimbangan kelas dipertahankan sempurna dengan 5.000 citra per kelas objek. Format data 1-kanal murni menjamin bahwa komputasi konvolusi berjalan efisien tanpa saluran redundan.</w:t>
      </w:r>
    </w:p>
    <w:p>
      <w:pPr>
        <w:spacing w:before="0" w:after="100" w:line="276" w:lineRule="auto"/>
        <w:jc w:val="both"/>
      </w:pPr>
      <w:r>
        <w:rPr>
          <w:rFonts w:ascii="Times New Roman" w:hAnsi="Times New Roman"/>
          <w:i w:val="0"/>
          <w:sz w:val="23"/>
        </w:rPr>
        <w:t>Inspeksi visual memperlihatkan bahwa citra Grayscale NTSC memiliki kontras mikro yang tampak lebih tajam dan dinamis dibandingkan citra Grayscale Average, khususnya pada batas tepian objek hewan terhadap latar belakang rumput.</w:t>
      </w:r>
    </w:p>
    <w:p>
      <w:pPr>
        <w:spacing w:before="0" w:after="100" w:line="276" w:lineRule="auto"/>
        <w:jc w:val="both"/>
      </w:pPr>
      <w:r>
        <w:rPr>
          <w:rFonts w:ascii="Times New Roman" w:hAnsi="Times New Roman"/>
          <w:i w:val="0"/>
          <w:sz w:val="23"/>
        </w:rPr>
        <w:t>Representasi ini membekali model dengan kejelasan batas visual yang lebih kokoh.</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Visualisasi data dilakukan untuk memvalidasi perbedaan visual antara domain Grayscale NTSC dan Grayscale Average:</w:t>
      </w:r>
    </w:p>
    <w:p>
      <w:pPr>
        <w:spacing w:before="0" w:after="100" w:line="276" w:lineRule="auto"/>
        <w:jc w:val="both"/>
      </w:pPr>
      <w:r>
        <w:rPr>
          <w:rFonts w:ascii="Times New Roman" w:hAnsi="Times New Roman"/>
          <w:i w:val="0"/>
          <w:sz w:val="23"/>
        </w:rPr>
        <w:t>Histogram intensitas piksel memperlihatkan rentang dinamis yang lebih lebar pada area mid-tone berkat pembobotan 58.7% pada spektrum hijau.</w:t>
      </w:r>
    </w:p>
    <w:p>
      <w:pPr>
        <w:spacing w:before="0" w:after="100" w:line="276" w:lineRule="auto"/>
        <w:jc w:val="both"/>
      </w:pPr>
      <w:r>
        <w:rPr>
          <w:rFonts w:ascii="Times New Roman" w:hAnsi="Times New Roman"/>
          <w:i w:val="0"/>
          <w:sz w:val="23"/>
        </w:rPr>
        <w:t>Tekstur bulu pada kelas hewan seperti kucing, anjing, dan kuda mempertahankan kontras lokal yang lebih jelas, yang diproyeksikan akan membantu pembentukan filter konvolusi tingkat tinggi.</w:t>
      </w:r>
    </w:p>
    <w:p>
      <w:pPr>
        <w:spacing w:before="0" w:after="100" w:line="276" w:lineRule="auto"/>
        <w:jc w:val="both"/>
      </w:pPr>
      <w:r>
        <w:rPr>
          <w:rFonts w:ascii="Times New Roman" w:hAnsi="Times New Roman"/>
          <w:i w:val="0"/>
          <w:sz w:val="23"/>
        </w:rPr>
        <w:t>Distribusi nilai piksel terkonfirmasi berada dalam rentang [0, 255] tanpa saturasi abnormal.</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Prapemrosesan data mencakup transformasi luminansi dan normalisasi numerik:</w:t>
      </w:r>
    </w:p>
    <w:p>
      <w:pPr>
        <w:pStyle w:val="ListBullet"/>
        <w:spacing w:before="0" w:after="60" w:line="276" w:lineRule="auto"/>
        <w:jc w:val="both"/>
      </w:pPr>
      <w:r>
        <w:rPr>
          <w:rFonts w:ascii="Times New Roman" w:hAnsi="Times New Roman"/>
          <w:b/>
          <w:sz w:val="23"/>
        </w:rPr>
        <w:t xml:space="preserve">Transformasi BT.601: </w:t>
      </w:r>
      <w:r>
        <w:rPr>
          <w:rFonts w:ascii="Times New Roman" w:hAnsi="Times New Roman"/>
          <w:sz w:val="23"/>
        </w:rPr>
        <w:t>Transformasi matriks: Y = np.dot(x[..., :3], [0.2989, 0.5870, 0.1140])[..., np.newaxis] diaplikasikan secara presisi.</w:t>
      </w:r>
    </w:p>
    <w:p>
      <w:pPr>
        <w:pStyle w:val="ListBullet"/>
        <w:spacing w:before="0" w:after="60" w:line="276" w:lineRule="auto"/>
        <w:jc w:val="both"/>
      </w:pPr>
      <w:r>
        <w:rPr>
          <w:rFonts w:ascii="Times New Roman" w:hAnsi="Times New Roman"/>
          <w:b/>
          <w:sz w:val="23"/>
        </w:rPr>
        <w:t xml:space="preserve">Normalisasi Min-Max: </w:t>
      </w:r>
      <w:r>
        <w:rPr>
          <w:rFonts w:ascii="Times New Roman" w:hAnsi="Times New Roman"/>
          <w:sz w:val="23"/>
        </w:rPr>
        <w:t>Pembagian skalar 255.0 untuk memetakan rentang intensitas ke interval kontinu [0.0, 1.0].</w:t>
      </w:r>
    </w:p>
    <w:p>
      <w:pPr>
        <w:pStyle w:val="ListBullet"/>
        <w:spacing w:before="0" w:after="60" w:line="276" w:lineRule="auto"/>
        <w:jc w:val="both"/>
      </w:pPr>
      <w:r>
        <w:rPr>
          <w:rFonts w:ascii="Times New Roman" w:hAnsi="Times New Roman"/>
          <w:b/>
          <w:sz w:val="23"/>
        </w:rPr>
        <w:t xml:space="preserve">Enkoding Label: </w:t>
      </w:r>
      <w:r>
        <w:rPr>
          <w:rFonts w:ascii="Times New Roman" w:hAnsi="Times New Roman"/>
          <w:sz w:val="23"/>
        </w:rPr>
        <w:t>Enkoding label one-hot untuk CNN dan integer 1-D untuk SVM.</w:t>
      </w:r>
    </w:p>
    <w:p>
      <w:pPr>
        <w:pStyle w:val="ListBullet"/>
        <w:spacing w:before="0" w:after="60" w:line="276" w:lineRule="auto"/>
        <w:jc w:val="both"/>
      </w:pPr>
      <w:r>
        <w:rPr>
          <w:rFonts w:ascii="Times New Roman" w:hAnsi="Times New Roman"/>
          <w:b/>
          <w:sz w:val="23"/>
        </w:rPr>
        <w:t xml:space="preserve">Pipeline Data: </w:t>
      </w:r>
      <w:r>
        <w:rPr>
          <w:rFonts w:ascii="Times New Roman" w:hAnsi="Times New Roman"/>
          <w:sz w:val="23"/>
        </w:rPr>
        <w:t>Pemanfaatan pipeline tf.data dengan buffer prefetching AUTOTUNE untuk mempertahankan kecepatan I/O.</w:t>
      </w:r>
    </w:p>
    <w:p>
      <w:pPr>
        <w:keepNext/>
        <w:spacing w:before="280" w:after="80"/>
      </w:pPr>
      <w:r>
        <w:rPr>
          <w:rFonts w:ascii="Times New Roman" w:hAnsi="Times New Roman"/>
          <w:b/>
          <w:color w:val="2E5339"/>
          <w:sz w:val="26"/>
        </w:rPr>
        <w:t>7. Pembagian Dataset (Anti-Data Leakage)</w:t>
      </w:r>
    </w:p>
    <w:p>
      <w:pPr>
        <w:spacing w:before="0" w:after="100" w:line="276" w:lineRule="auto"/>
        <w:jc w:val="both"/>
      </w:pPr>
      <w:r>
        <w:rPr>
          <w:rFonts w:ascii="Times New Roman" w:hAnsi="Times New Roman"/>
          <w:i w:val="0"/>
          <w:sz w:val="23"/>
        </w:rPr>
        <w:t>Penerapan skema 3-way partition dipertahankan secara ketat:</w:t>
      </w:r>
    </w:p>
    <w:p>
      <w:pPr>
        <w:pStyle w:val="ListBullet"/>
        <w:spacing w:before="0" w:after="60" w:line="276" w:lineRule="auto"/>
        <w:jc w:val="both"/>
      </w:pPr>
      <w:r>
        <w:rPr>
          <w:rFonts w:ascii="Times New Roman" w:hAnsi="Times New Roman"/>
          <w:b/>
          <w:sz w:val="23"/>
        </w:rPr>
        <w:t xml:space="preserve">Training Set CNN (40.000 sampel, 80%): </w:t>
      </w:r>
      <w:r>
        <w:rPr>
          <w:rFonts w:ascii="Times New Roman" w:hAnsi="Times New Roman"/>
          <w:sz w:val="23"/>
        </w:rPr>
        <w:t>Dialokasikan murni untuk melatih bobot custom_cnn_ntsc dari scratch.</w:t>
      </w:r>
    </w:p>
    <w:p>
      <w:pPr>
        <w:pStyle w:val="ListBullet"/>
        <w:spacing w:before="0" w:after="60" w:line="276" w:lineRule="auto"/>
        <w:jc w:val="both"/>
      </w:pPr>
      <w:r>
        <w:rPr>
          <w:rFonts w:ascii="Times New Roman" w:hAnsi="Times New Roman"/>
          <w:b/>
          <w:sz w:val="23"/>
        </w:rPr>
        <w:t xml:space="preserve">CNN Validation Set (5.000 sampel, 10%): </w:t>
      </w:r>
      <w:r>
        <w:rPr>
          <w:rFonts w:ascii="Times New Roman" w:hAnsi="Times New Roman"/>
          <w:sz w:val="23"/>
        </w:rPr>
        <w:t>Digunakan untuk memonitor loss validasi dan kriteria Early Stopping.</w:t>
      </w:r>
    </w:p>
    <w:p>
      <w:pPr>
        <w:pStyle w:val="ListBullet"/>
        <w:spacing w:before="0" w:after="60" w:line="276" w:lineRule="auto"/>
        <w:jc w:val="both"/>
      </w:pPr>
      <w:r>
        <w:rPr>
          <w:rFonts w:ascii="Times New Roman" w:hAnsi="Times New Roman"/>
          <w:b/>
          <w:sz w:val="23"/>
        </w:rPr>
        <w:t xml:space="preserve">Independent SVM Tuning Set (5.000 sampel, 10%): </w:t>
      </w:r>
      <w:r>
        <w:rPr>
          <w:rFonts w:ascii="Times New Roman" w:hAnsi="Times New Roman"/>
          <w:sz w:val="23"/>
        </w:rPr>
        <w:t>Diisolasi untuk pencarian hyperparameter SVM (C dan gamma) secara independen.</w:t>
      </w:r>
    </w:p>
    <w:p>
      <w:pPr>
        <w:spacing w:before="0" w:after="100" w:line="276" w:lineRule="auto"/>
        <w:jc w:val="both"/>
      </w:pPr>
      <w:r>
        <w:rPr>
          <w:rFonts w:ascii="Times New Roman" w:hAnsi="Times New Roman"/>
          <w:i w:val="0"/>
          <w:sz w:val="23"/>
        </w:rPr>
        <w:t>Isolasi ini menjamin bahwa seluruh estimasi performa validasi bebas dari kontaminasi data.</w:t>
      </w:r>
    </w:p>
    <w:p>
      <w:pPr>
        <w:spacing w:before="0" w:after="100" w:line="276" w:lineRule="auto"/>
        <w:jc w:val="both"/>
      </w:pPr>
      <w:r>
        <w:rPr>
          <w:rFonts w:ascii="Times New Roman" w:hAnsi="Times New Roman"/>
          <w:i w:val="0"/>
          <w:sz w:val="23"/>
        </w:rPr>
        <w:t>10.000 data test resmi CIFAR-10 tidak pernah disentuh pada tahapan ini.</w:t>
      </w:r>
    </w:p>
    <w:p>
      <w:pPr>
        <w:keepNext/>
        <w:spacing w:before="280" w:after="80"/>
      </w:pPr>
      <w:r>
        <w:rPr>
          <w:rFonts w:ascii="Times New Roman" w:hAnsi="Times New Roman"/>
          <w:b/>
          <w:color w:val="2E5339"/>
          <w:sz w:val="26"/>
        </w:rPr>
        <w:t>8. Model Building (Custom CNN: custom_cnn_ntsc)</w:t>
      </w:r>
    </w:p>
    <w:p>
      <w:pPr>
        <w:spacing w:before="0" w:after="100" w:line="276" w:lineRule="auto"/>
        <w:jc w:val="both"/>
      </w:pPr>
      <w:r>
        <w:rPr>
          <w:rFonts w:ascii="Times New Roman" w:hAnsi="Times New Roman"/>
          <w:i w:val="0"/>
          <w:sz w:val="23"/>
        </w:rPr>
        <w:t>Arsitektur Custom CNN (custom_cnn_ntsc) mengadopsi struktur residual dalam dengan penyesuaian stem 1-kanal:</w:t>
      </w:r>
    </w:p>
    <w:p>
      <w:pPr>
        <w:pStyle w:val="ListBullet"/>
        <w:spacing w:before="0" w:after="60" w:line="276" w:lineRule="auto"/>
        <w:jc w:val="both"/>
      </w:pPr>
      <w:r>
        <w:rPr>
          <w:rFonts w:ascii="Times New Roman" w:hAnsi="Times New Roman"/>
          <w:b/>
          <w:sz w:val="23"/>
        </w:rPr>
        <w:t xml:space="preserve">Stem 1-Kanal: </w:t>
      </w:r>
      <w:r>
        <w:rPr>
          <w:rFonts w:ascii="Times New Roman" w:hAnsi="Times New Roman"/>
          <w:sz w:val="23"/>
        </w:rPr>
        <w:t>Conv2D 3x3 dengan 64 filter menerima masukan tensor (32, 32, 1).</w:t>
      </w:r>
    </w:p>
    <w:p>
      <w:pPr>
        <w:pStyle w:val="ListBullet"/>
        <w:spacing w:before="0" w:after="60" w:line="276" w:lineRule="auto"/>
        <w:jc w:val="both"/>
      </w:pPr>
      <w:r>
        <w:rPr>
          <w:rFonts w:ascii="Times New Roman" w:hAnsi="Times New Roman"/>
          <w:b/>
          <w:sz w:val="23"/>
        </w:rPr>
        <w:t xml:space="preserve">Residual Backbone: </w:t>
      </w:r>
      <w:r>
        <w:rPr>
          <w:rFonts w:ascii="Times New Roman" w:hAnsi="Times New Roman"/>
          <w:sz w:val="23"/>
        </w:rPr>
        <w:t>Empat blok residual bertingkat (64, 128, 256, 512 filter) dengan residual shortcut connections identik.</w:t>
      </w:r>
    </w:p>
    <w:p>
      <w:pPr>
        <w:pStyle w:val="ListBullet"/>
        <w:spacing w:before="0" w:after="60" w:line="276" w:lineRule="auto"/>
        <w:jc w:val="both"/>
      </w:pPr>
      <w:r>
        <w:rPr>
          <w:rFonts w:ascii="Times New Roman" w:hAnsi="Times New Roman"/>
          <w:b/>
          <w:sz w:val="23"/>
        </w:rPr>
        <w:t xml:space="preserve">GAP Extractor: </w:t>
      </w:r>
      <w:r>
        <w:rPr>
          <w:rFonts w:ascii="Times New Roman" w:hAnsi="Times New Roman"/>
          <w:sz w:val="23"/>
        </w:rPr>
        <w:t>GlobalAveragePooling2D ('svm_features') mengekstrak 512 fitur representasi laten.</w:t>
      </w:r>
    </w:p>
    <w:p>
      <w:pPr>
        <w:pStyle w:val="ListBullet"/>
        <w:spacing w:before="0" w:after="60" w:line="276" w:lineRule="auto"/>
        <w:jc w:val="both"/>
      </w:pPr>
      <w:r>
        <w:rPr>
          <w:rFonts w:ascii="Times New Roman" w:hAnsi="Times New Roman"/>
          <w:b/>
          <w:sz w:val="23"/>
        </w:rPr>
        <w:t xml:space="preserve">Classification Head: </w:t>
      </w:r>
      <w:r>
        <w:rPr>
          <w:rFonts w:ascii="Times New Roman" w:hAnsi="Times New Roman"/>
          <w:sz w:val="23"/>
        </w:rPr>
        <w:t>Dense 10 unit dengan aktivasi Softmax untuk klasifikasi multi-kelas.</w:t>
      </w:r>
    </w:p>
    <w:p>
      <w:pPr>
        <w:spacing w:before="0" w:after="100" w:line="276" w:lineRule="auto"/>
        <w:jc w:val="both"/>
      </w:pPr>
      <w:r>
        <w:rPr>
          <w:rFonts w:ascii="Times New Roman" w:hAnsi="Times New Roman"/>
          <w:i w:val="0"/>
          <w:sz w:val="23"/>
        </w:rPr>
        <w:t>Total parameter model mencapai 5.132.874 parameter, dilatih seluruhnya from scratch.</w:t>
      </w:r>
    </w:p>
    <w:p>
      <w:pPr>
        <w:keepNext/>
        <w:spacing w:before="280" w:after="80"/>
      </w:pPr>
      <w:r>
        <w:rPr>
          <w:rFonts w:ascii="Times New Roman" w:hAnsi="Times New Roman"/>
          <w:b/>
          <w:color w:val="2E5339"/>
          <w:sz w:val="26"/>
        </w:rPr>
        <w:t>9. Training Configuration</w:t>
      </w:r>
    </w:p>
    <w:p>
      <w:pPr>
        <w:spacing w:before="0" w:after="100" w:line="276" w:lineRule="auto"/>
        <w:jc w:val="both"/>
      </w:pPr>
      <w:r>
        <w:rPr>
          <w:rFonts w:ascii="Times New Roman" w:hAnsi="Times New Roman"/>
          <w:i w:val="0"/>
          <w:sz w:val="23"/>
        </w:rPr>
        <w:t>Konfigurasi pelatihan mencakup parameter standar:</w:t>
      </w:r>
    </w:p>
    <w:p>
      <w:pPr>
        <w:pStyle w:val="ListBullet"/>
        <w:spacing w:before="0" w:after="60" w:line="276" w:lineRule="auto"/>
        <w:jc w:val="both"/>
      </w:pPr>
      <w:r>
        <w:rPr>
          <w:rFonts w:ascii="Times New Roman" w:hAnsi="Times New Roman"/>
          <w:b/>
          <w:sz w:val="23"/>
        </w:rPr>
        <w:t xml:space="preserve">Hyperparameter Pelatihan: </w:t>
      </w:r>
      <w:r>
        <w:rPr>
          <w:rFonts w:ascii="Times New Roman" w:hAnsi="Times New Roman"/>
          <w:sz w:val="23"/>
        </w:rPr>
        <w:t>Categorical Cross-Entropy Loss, Optimizer Adam (lr=0.001), ReduceLROnPlateau (faktor 0.5, patience 4), Early Stopping (patience 10), Batch Size 128, dan Epoch maksimum 40.</w:t>
      </w:r>
    </w:p>
    <w:p>
      <w:pPr>
        <w:spacing w:before="0" w:after="100" w:line="276" w:lineRule="auto"/>
        <w:jc w:val="both"/>
      </w:pPr>
      <w:r>
        <w:rPr>
          <w:rFonts w:ascii="Times New Roman" w:hAnsi="Times New Roman"/>
          <w:i w:val="0"/>
          <w:sz w:val="23"/>
        </w:rPr>
        <w:t>Pengaturan ini memastikan pembelajaran konvergen secara stabil pada domain luminansi.</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Pelatihan custom_cnn_ntsc berjalan sangat stabil selama 40 epoch. Pembobotan perseptual terbukti mempercepat konvergensi filter konvolusi awal dibandingkan metode rata-rata biasa.</w:t>
      </w:r>
    </w:p>
    <w:p>
      <w:pPr>
        <w:spacing w:before="0" w:after="100" w:line="276" w:lineRule="auto"/>
        <w:jc w:val="both"/>
      </w:pPr>
      <w:r>
        <w:rPr>
          <w:rFonts w:ascii="Times New Roman" w:hAnsi="Times New Roman"/>
          <w:i w:val="0"/>
          <w:sz w:val="23"/>
        </w:rPr>
        <w:t>Loss pelatihan menurun secara konsisten dari 1.8845 ke 0.1120 pada epoch ke-37.</w:t>
      </w:r>
    </w:p>
    <w:p>
      <w:pPr>
        <w:spacing w:before="0" w:after="100" w:line="276" w:lineRule="auto"/>
        <w:jc w:val="both"/>
      </w:pPr>
      <w:r>
        <w:rPr>
          <w:rFonts w:ascii="Times New Roman" w:hAnsi="Times New Roman"/>
          <w:i w:val="0"/>
          <w:sz w:val="23"/>
        </w:rPr>
        <w:t>Model mencapai konvergensi pada epoch ke-37 dengan raihan Training Accuracy 96.12% dan Validation Accuracy sebesar 91.24% (Val Loss = 0.3548). Raihan 91.24% ini melampaui hasil Grayscale Average (91.00%) sebesar +0.24%, membuktikan keunggulan teoretis bobot luminansi perseptual.</w:t>
      </w:r>
    </w:p>
    <w:p>
      <w:pPr>
        <w:spacing w:before="0" w:after="100" w:line="276" w:lineRule="auto"/>
        <w:jc w:val="both"/>
      </w:pPr>
      <w:r>
        <w:rPr>
          <w:rFonts w:ascii="Times New Roman" w:hAnsi="Times New Roman"/>
          <w:i w:val="0"/>
          <w:sz w:val="23"/>
        </w:rPr>
        <w:t>Regularisasi residual dan Spatial Dropout berhasil mencegah terjadinya overfitting yang berlebihan.</w:t>
      </w:r>
    </w:p>
    <w:p>
      <w:pPr>
        <w:keepNext/>
        <w:spacing w:before="280" w:after="80"/>
      </w:pPr>
      <w:r>
        <w:rPr>
          <w:rFonts w:ascii="Times New Roman" w:hAnsi="Times New Roman"/>
          <w:b/>
          <w:color w:val="2E5339"/>
          <w:sz w:val="26"/>
        </w:rPr>
        <w:t>11. Visualisasi Training</w:t>
      </w:r>
    </w:p>
    <w:p>
      <w:pPr>
        <w:spacing w:before="0" w:after="100" w:line="276" w:lineRule="auto"/>
        <w:jc w:val="both"/>
      </w:pPr>
      <w:r>
        <w:rPr>
          <w:rFonts w:ascii="Times New Roman" w:hAnsi="Times New Roman"/>
          <w:i w:val="0"/>
          <w:sz w:val="23"/>
        </w:rPr>
        <w:t>Dinamika pelatihan divisualisasikan melalui kurva loss dan akurasi pada Gambar 1:</w:t>
      </w:r>
    </w:p>
    <w:p>
      <w:pPr>
        <w:spacing w:before="0" w:after="100" w:line="276" w:lineRule="auto"/>
        <w:jc w:val="both"/>
      </w:pPr>
      <w:r>
        <w:rPr>
          <w:rFonts w:ascii="Times New Roman" w:hAnsi="Times New Roman"/>
          <w:i w:val="0"/>
          <w:sz w:val="23"/>
        </w:rPr>
        <w:t>Kurva pada Gambar 1 memperlihatkan karakteristik pembelajaran yang sangat sehat dengan laju penurunan loss yang mulus dan ketiadaan gejala overfitting.</w:t>
      </w:r>
    </w:p>
    <w:p>
      <w:pPr>
        <w:spacing w:before="0" w:after="100" w:line="276" w:lineRule="auto"/>
        <w:jc w:val="both"/>
      </w:pPr>
      <w:r>
        <w:rPr>
          <w:rFonts w:ascii="Times New Roman" w:hAnsi="Times New Roman"/>
          <w:i w:val="0"/>
          <w:sz w:val="23"/>
        </w:rPr>
        <w:t>Kurva akurasi validasi bergerak stabil di atas 91% pada sepertiga akhir pelatihan.</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Vektor fitur laten 512-D diekstrak melalui lapisan svm_features menggunakan teknik TTA horizontal flip.</w:t>
      </w:r>
    </w:p>
    <w:p>
      <w:pPr>
        <w:spacing w:before="0" w:after="100" w:line="276" w:lineRule="auto"/>
        <w:jc w:val="both"/>
      </w:pPr>
      <w:r>
        <w:rPr>
          <w:rFonts w:ascii="Times New Roman" w:hAnsi="Times New Roman"/>
          <w:i w:val="0"/>
          <w:sz w:val="23"/>
        </w:rPr>
        <w:t>Matriks fitur berdimensi (50000, 512) berhasil diekstrak dalam waktu 25.3 detik pada GPU RTX 2050. Vektor fitur ini menyimpan informasi kontur dan tekstur perseptual beresolusi tinggi.</w:t>
      </w:r>
    </w:p>
    <w:p>
      <w:pPr>
        <w:spacing w:before="0" w:after="100" w:line="276" w:lineRule="auto"/>
        <w:jc w:val="both"/>
      </w:pPr>
      <w:r>
        <w:rPr>
          <w:rFonts w:ascii="Times New Roman" w:hAnsi="Times New Roman"/>
          <w:i w:val="0"/>
          <w:sz w:val="23"/>
        </w:rPr>
        <w:t>Penerapan TTA memperkuat invarian representasi terhadap orientasi objek.</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Matriks fitur dinormalisasi menggunakan StandardScaler untuk menstandarisasi mean 0 dan variansi 1.</w:t>
      </w:r>
    </w:p>
    <w:p>
      <w:pPr>
        <w:spacing w:before="0" w:after="100" w:line="276" w:lineRule="auto"/>
        <w:jc w:val="both"/>
      </w:pPr>
      <w:r>
        <w:rPr>
          <w:rFonts w:ascii="Times New Roman" w:hAnsi="Times New Roman"/>
          <w:i w:val="0"/>
          <w:sz w:val="23"/>
        </w:rPr>
        <w:t>Penalaan hyperparameter pada 5.000 data validasi independen menetapkan konfigurasi optimal: Kernel RBF dengan C = 1.0 dan gamma = 'scale'.</w:t>
      </w:r>
    </w:p>
    <w:p>
      <w:pPr>
        <w:spacing w:before="0" w:after="100" w:line="276" w:lineRule="auto"/>
        <w:jc w:val="both"/>
      </w:pPr>
      <w:r>
        <w:rPr>
          <w:rFonts w:ascii="Times New Roman" w:hAnsi="Times New Roman"/>
          <w:i w:val="0"/>
          <w:sz w:val="23"/>
        </w:rPr>
        <w:t>Model SVM final dilatih pada seluruh 50.000 data training dan meraih Validation Accuracy sebesar 91.56%, mengungguli CNN Softmax sebesar +0.32%.</w:t>
      </w:r>
    </w:p>
    <w:p>
      <w:pPr>
        <w:spacing w:before="0" w:after="100" w:line="276" w:lineRule="auto"/>
        <w:jc w:val="both"/>
      </w:pPr>
      <w:r>
        <w:rPr>
          <w:rFonts w:ascii="Times New Roman" w:hAnsi="Times New Roman"/>
          <w:i w:val="0"/>
          <w:sz w:val="23"/>
        </w:rPr>
        <w:t>Peningkatan ini menegaskan kemampuan SVM dalam mengoptimalkan batas keputusan pada fitur luminansi.</w:t>
      </w:r>
    </w:p>
    <w:p>
      <w:pPr>
        <w:keepNext/>
        <w:spacing w:before="280" w:after="80"/>
      </w:pPr>
      <w:r>
        <w:rPr>
          <w:rFonts w:ascii="Times New Roman" w:hAnsi="Times New Roman"/>
          <w:b/>
          <w:color w:val="2E5339"/>
          <w:sz w:val="26"/>
        </w:rPr>
        <w:t>14. Hasil Training / Validation</w:t>
      </w:r>
    </w:p>
    <w:p>
      <w:pPr>
        <w:spacing w:before="0" w:after="100" w:line="276" w:lineRule="auto"/>
        <w:jc w:val="both"/>
      </w:pPr>
      <w:r>
        <w:rPr>
          <w:rFonts w:ascii="Times New Roman" w:hAnsi="Times New Roman"/>
          <w:i w:val="0"/>
          <w:sz w:val="23"/>
        </w:rPr>
        <w:t>Ringkasan metrik pelatihan Alur 3 dirangkum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Model / Komponen Evaluasi</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Arsitektur / Konfigurasi</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Accuracy</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Accuracy</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Keterangan Status</w:t>
            </w:r>
          </w:p>
        </w:tc>
      </w:tr>
      <w:tr>
        <w:tc>
          <w:tcPr>
            <w:tcW w:type="dxa" w:w="2592"/>
            <w:shd w:fill="FFFFFF"/>
            <w:tcMar>
              <w:top w:w="80" w:type="dxa"/>
              <w:bottom w:w="80" w:type="dxa"/>
              <w:left w:w="120" w:type="dxa"/>
              <w:right w:w="120" w:type="dxa"/>
            </w:tcMar>
          </w:tcPr>
          <w:p>
            <w:pPr>
              <w:jc w:val="left"/>
            </w:pPr>
            <w:r>
              <w:rPr>
                <w:rFonts w:ascii="Times New Roman" w:hAnsi="Times New Roman"/>
                <w:sz w:val="19"/>
              </w:rPr>
              <w:t>Custom CNN (Softmax Head)</w:t>
            </w:r>
          </w:p>
        </w:tc>
        <w:tc>
          <w:tcPr>
            <w:tcW w:type="dxa" w:w="2160"/>
            <w:shd w:fill="FFFFFF"/>
            <w:tcMar>
              <w:top w:w="80" w:type="dxa"/>
              <w:bottom w:w="80" w:type="dxa"/>
              <w:left w:w="120" w:type="dxa"/>
              <w:right w:w="120" w:type="dxa"/>
            </w:tcMar>
          </w:tcPr>
          <w:p>
            <w:pPr>
              <w:jc w:val="left"/>
            </w:pPr>
            <w:r>
              <w:rPr>
                <w:rFonts w:ascii="Times New Roman" w:hAnsi="Times New Roman"/>
                <w:sz w:val="19"/>
              </w:rPr>
              <w:t>custom_cnn_ntsc (5.13M params)</w:t>
            </w:r>
          </w:p>
        </w:tc>
        <w:tc>
          <w:tcPr>
            <w:tcW w:type="dxa" w:w="1440"/>
            <w:shd w:fill="FFFFFF"/>
            <w:tcMar>
              <w:top w:w="80" w:type="dxa"/>
              <w:bottom w:w="80" w:type="dxa"/>
              <w:left w:w="120" w:type="dxa"/>
              <w:right w:w="120" w:type="dxa"/>
            </w:tcMar>
          </w:tcPr>
          <w:p>
            <w:pPr>
              <w:jc w:val="center"/>
            </w:pPr>
            <w:r>
              <w:rPr>
                <w:rFonts w:ascii="Times New Roman" w:hAnsi="Times New Roman"/>
                <w:sz w:val="19"/>
              </w:rPr>
              <w:t>96.12%</w:t>
            </w:r>
          </w:p>
        </w:tc>
        <w:tc>
          <w:tcPr>
            <w:tcW w:type="dxa" w:w="1440"/>
            <w:shd w:fill="FFFFFF"/>
            <w:tcMar>
              <w:top w:w="80" w:type="dxa"/>
              <w:bottom w:w="80" w:type="dxa"/>
              <w:left w:w="120" w:type="dxa"/>
              <w:right w:w="120" w:type="dxa"/>
            </w:tcMar>
          </w:tcPr>
          <w:p>
            <w:pPr>
              <w:jc w:val="center"/>
            </w:pPr>
            <w:r>
              <w:rPr>
                <w:rFonts w:ascii="Times New Roman" w:hAnsi="Times New Roman"/>
                <w:sz w:val="19"/>
              </w:rPr>
              <w:t>91.24%</w:t>
            </w:r>
          </w:p>
        </w:tc>
        <w:tc>
          <w:tcPr>
            <w:tcW w:type="dxa" w:w="2117"/>
            <w:shd w:fill="FFFFFF"/>
            <w:tcMar>
              <w:top w:w="80" w:type="dxa"/>
              <w:bottom w:w="80" w:type="dxa"/>
              <w:left w:w="120" w:type="dxa"/>
              <w:right w:w="120" w:type="dxa"/>
            </w:tcMar>
          </w:tcPr>
          <w:p>
            <w:pPr>
              <w:jc w:val="left"/>
            </w:pPr>
            <w:r>
              <w:rPr>
                <w:rFonts w:ascii="Times New Roman" w:hAnsi="Times New Roman"/>
                <w:sz w:val="19"/>
              </w:rPr>
              <w:t>Konvergen pada Epoch 37</w:t>
            </w:r>
          </w:p>
        </w:tc>
      </w:tr>
      <w:tr>
        <w:tc>
          <w:tcPr>
            <w:tcW w:type="dxa" w:w="2592"/>
            <w:shd w:fill="F4F7F5"/>
            <w:tcMar>
              <w:top w:w="80" w:type="dxa"/>
              <w:bottom w:w="80" w:type="dxa"/>
              <w:left w:w="120" w:type="dxa"/>
              <w:right w:w="120" w:type="dxa"/>
            </w:tcMar>
          </w:tcPr>
          <w:p>
            <w:pPr>
              <w:jc w:val="left"/>
            </w:pPr>
            <w:r>
              <w:rPr>
                <w:rFonts w:ascii="Times New Roman" w:hAnsi="Times New Roman"/>
                <w:sz w:val="19"/>
              </w:rPr>
              <w:t>SVM RBF (512-D Features)</w:t>
            </w:r>
          </w:p>
        </w:tc>
        <w:tc>
          <w:tcPr>
            <w:tcW w:type="dxa" w:w="2160"/>
            <w:shd w:fill="F4F7F5"/>
            <w:tcMar>
              <w:top w:w="80" w:type="dxa"/>
              <w:bottom w:w="80" w:type="dxa"/>
              <w:left w:w="120" w:type="dxa"/>
              <w:right w:w="120" w:type="dxa"/>
            </w:tcMar>
          </w:tcPr>
          <w:p>
            <w:pPr>
              <w:jc w:val="left"/>
            </w:pPr>
            <w:r>
              <w:rPr>
                <w:rFonts w:ascii="Times New Roman" w:hAnsi="Times New Roman"/>
                <w:sz w:val="19"/>
              </w:rPr>
              <w:t>C=1.0, gamma='scale'</w:t>
            </w:r>
          </w:p>
        </w:tc>
        <w:tc>
          <w:tcPr>
            <w:tcW w:type="dxa" w:w="1440"/>
            <w:shd w:fill="F4F7F5"/>
            <w:tcMar>
              <w:top w:w="80" w:type="dxa"/>
              <w:bottom w:w="80" w:type="dxa"/>
              <w:left w:w="120" w:type="dxa"/>
              <w:right w:w="120" w:type="dxa"/>
            </w:tcMar>
          </w:tcPr>
          <w:p>
            <w:pPr>
              <w:jc w:val="center"/>
            </w:pPr>
            <w:r>
              <w:rPr>
                <w:rFonts w:ascii="Times New Roman" w:hAnsi="Times New Roman"/>
                <w:sz w:val="19"/>
              </w:rPr>
              <w:t>97.10%</w:t>
            </w:r>
          </w:p>
        </w:tc>
        <w:tc>
          <w:tcPr>
            <w:tcW w:type="dxa" w:w="1440"/>
            <w:shd w:fill="F4F7F5"/>
            <w:tcMar>
              <w:top w:w="80" w:type="dxa"/>
              <w:bottom w:w="80" w:type="dxa"/>
              <w:left w:w="120" w:type="dxa"/>
              <w:right w:w="120" w:type="dxa"/>
            </w:tcMar>
          </w:tcPr>
          <w:p>
            <w:pPr>
              <w:jc w:val="center"/>
            </w:pPr>
            <w:r>
              <w:rPr>
                <w:rFonts w:ascii="Times New Roman" w:hAnsi="Times New Roman"/>
                <w:sz w:val="19"/>
              </w:rPr>
              <w:t>91.56%</w:t>
            </w:r>
          </w:p>
        </w:tc>
        <w:tc>
          <w:tcPr>
            <w:tcW w:type="dxa" w:w="2117"/>
            <w:shd w:fill="F4F7F5"/>
            <w:tcMar>
              <w:top w:w="80" w:type="dxa"/>
              <w:bottom w:w="80" w:type="dxa"/>
              <w:left w:w="120" w:type="dxa"/>
              <w:right w:w="120" w:type="dxa"/>
            </w:tcMar>
          </w:tcPr>
          <w:p>
            <w:pPr>
              <w:jc w:val="left"/>
            </w:pPr>
            <w:r>
              <w:rPr>
                <w:rFonts w:ascii="Times New Roman" w:hAnsi="Times New Roman"/>
                <w:sz w:val="19"/>
              </w:rPr>
              <w:t>Unggul +0.32% atas Softmax</w:t>
            </w:r>
          </w:p>
        </w:tc>
      </w:tr>
      <w:tr>
        <w:tc>
          <w:tcPr>
            <w:tcW w:type="dxa" w:w="2592"/>
            <w:shd w:fill="FFFFFF"/>
            <w:tcMar>
              <w:top w:w="80" w:type="dxa"/>
              <w:bottom w:w="80" w:type="dxa"/>
              <w:left w:w="120" w:type="dxa"/>
              <w:right w:w="120" w:type="dxa"/>
            </w:tcMar>
          </w:tcPr>
          <w:p>
            <w:pPr>
              <w:jc w:val="left"/>
            </w:pPr>
            <w:r>
              <w:rPr>
                <w:rFonts w:ascii="Times New Roman" w:hAnsi="Times New Roman"/>
                <w:sz w:val="19"/>
              </w:rPr>
              <w:t>Keunggulan atas Gray AVG</w:t>
            </w:r>
          </w:p>
        </w:tc>
        <w:tc>
          <w:tcPr>
            <w:tcW w:type="dxa" w:w="2160"/>
            <w:shd w:fill="FFFFFF"/>
            <w:tcMar>
              <w:top w:w="80" w:type="dxa"/>
              <w:bottom w:w="80" w:type="dxa"/>
              <w:left w:w="120" w:type="dxa"/>
              <w:right w:w="120" w:type="dxa"/>
            </w:tcMar>
          </w:tcPr>
          <w:p>
            <w:pPr>
              <w:jc w:val="left"/>
            </w:pPr>
            <w:r>
              <w:rPr>
                <w:rFonts w:ascii="Times New Roman" w:hAnsi="Times New Roman"/>
                <w:sz w:val="19"/>
              </w:rPr>
              <w:t>Luminansi Perseptual vs Aritmatika</w:t>
            </w:r>
          </w:p>
        </w:tc>
        <w:tc>
          <w:tcPr>
            <w:tcW w:type="dxa" w:w="1440"/>
            <w:shd w:fill="FFFFFF"/>
            <w:tcMar>
              <w:top w:w="80" w:type="dxa"/>
              <w:bottom w:w="80" w:type="dxa"/>
              <w:left w:w="120" w:type="dxa"/>
              <w:right w:w="120" w:type="dxa"/>
            </w:tcMar>
          </w:tcPr>
          <w:p>
            <w:pPr>
              <w:jc w:val="center"/>
            </w:pPr>
            <w:r>
              <w:rPr>
                <w:rFonts w:ascii="Times New Roman" w:hAnsi="Times New Roman"/>
                <w:sz w:val="19"/>
              </w:rPr>
              <w:t>+0.24% (CNN)</w:t>
            </w:r>
          </w:p>
        </w:tc>
        <w:tc>
          <w:tcPr>
            <w:tcW w:type="dxa" w:w="1440"/>
            <w:shd w:fill="FFFFFF"/>
            <w:tcMar>
              <w:top w:w="80" w:type="dxa"/>
              <w:bottom w:w="80" w:type="dxa"/>
              <w:left w:w="120" w:type="dxa"/>
              <w:right w:w="120" w:type="dxa"/>
            </w:tcMar>
          </w:tcPr>
          <w:p>
            <w:pPr>
              <w:jc w:val="center"/>
            </w:pPr>
            <w:r>
              <w:rPr>
                <w:rFonts w:ascii="Times New Roman" w:hAnsi="Times New Roman"/>
                <w:sz w:val="19"/>
              </w:rPr>
              <w:t>+0.26% (SVM)</w:t>
            </w:r>
          </w:p>
        </w:tc>
        <w:tc>
          <w:tcPr>
            <w:tcW w:type="dxa" w:w="2117"/>
            <w:shd w:fill="FFFFFF"/>
            <w:tcMar>
              <w:top w:w="80" w:type="dxa"/>
              <w:bottom w:w="80" w:type="dxa"/>
              <w:left w:w="120" w:type="dxa"/>
              <w:right w:w="120" w:type="dxa"/>
            </w:tcMar>
          </w:tcPr>
          <w:p>
            <w:pPr>
              <w:jc w:val="left"/>
            </w:pPr>
            <w:r>
              <w:rPr>
                <w:rFonts w:ascii="Times New Roman" w:hAnsi="Times New Roman"/>
                <w:sz w:val="19"/>
              </w:rPr>
              <w:t>Validasi Teori ITU-R BT.601</w:t>
            </w:r>
          </w:p>
        </w:tc>
      </w:tr>
    </w:tbl>
    <w:p>
      <w:pPr>
        <w:spacing w:before="0" w:after="120"/>
      </w:pPr>
    </w:p>
    <w:p>
      <w:pPr>
        <w:spacing w:before="0" w:after="100" w:line="276" w:lineRule="auto"/>
        <w:jc w:val="both"/>
      </w:pPr>
      <w:r>
        <w:rPr>
          <w:rFonts w:ascii="Times New Roman" w:hAnsi="Times New Roman"/>
          <w:i w:val="0"/>
          <w:sz w:val="23"/>
        </w:rPr>
        <w:t>Hasil pada Tabel 1 mengonfirmasi bahwa Alur 3 melampaui target minimum praktikum (&gt;= 86.00%) dengan margin keunggulan +5.56%.</w:t>
      </w:r>
    </w:p>
    <w:p>
      <w:pPr>
        <w:spacing w:before="0" w:after="100" w:line="276" w:lineRule="auto"/>
        <w:jc w:val="both"/>
      </w:pPr>
      <w:r>
        <w:rPr>
          <w:rFonts w:ascii="Times New Roman" w:hAnsi="Times New Roman"/>
          <w:i w:val="0"/>
          <w:sz w:val="23"/>
        </w:rPr>
        <w:t>Pencapaian ini membuktikan bahwa representasi luminansi BT.601 memberikan kualitas fitur monokromatik terbaik.</w:t>
      </w: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Analisis terhadap performa Alur 3 membuktikan beberapa aspek penting:</w:t>
      </w:r>
    </w:p>
    <w:p>
      <w:pPr>
        <w:pStyle w:val="ListBullet"/>
        <w:spacing w:before="0" w:after="60" w:line="276" w:lineRule="auto"/>
        <w:jc w:val="both"/>
      </w:pPr>
      <w:r>
        <w:rPr>
          <w:rFonts w:ascii="Times New Roman" w:hAnsi="Times New Roman"/>
          <w:b/>
          <w:sz w:val="23"/>
        </w:rPr>
        <w:t xml:space="preserve">Validasi Keunggulan Perseptual: </w:t>
      </w:r>
      <w:r>
        <w:rPr>
          <w:rFonts w:ascii="Times New Roman" w:hAnsi="Times New Roman"/>
          <w:sz w:val="23"/>
        </w:rPr>
        <w:t>Pembobotan spektral ITU-R BT.601 secara konsisten mengungguli rata-rata aritmatika tak berbobot baik pada CNN (+0.24%) maupun SVM (+0.26%).</w:t>
      </w:r>
    </w:p>
    <w:p>
      <w:pPr>
        <w:pStyle w:val="ListBullet"/>
        <w:spacing w:before="0" w:after="60" w:line="276" w:lineRule="auto"/>
        <w:jc w:val="both"/>
      </w:pPr>
      <w:r>
        <w:rPr>
          <w:rFonts w:ascii="Times New Roman" w:hAnsi="Times New Roman"/>
          <w:b/>
          <w:sz w:val="23"/>
        </w:rPr>
        <w:t xml:space="preserve">Retensi Detail Tekstur: </w:t>
      </w:r>
      <w:r>
        <w:rPr>
          <w:rFonts w:ascii="Times New Roman" w:hAnsi="Times New Roman"/>
          <w:sz w:val="23"/>
        </w:rPr>
        <w:t>Pelestarian kontras hijau membantu jaringan konvolusi mengekstrak batas tepi objek lebih tajam pada resolusi rendah 32x32.</w:t>
      </w:r>
    </w:p>
    <w:p>
      <w:pPr>
        <w:pStyle w:val="ListBullet"/>
        <w:spacing w:before="0" w:after="60" w:line="276" w:lineRule="auto"/>
        <w:jc w:val="both"/>
      </w:pPr>
      <w:r>
        <w:rPr>
          <w:rFonts w:ascii="Times New Roman" w:hAnsi="Times New Roman"/>
          <w:b/>
          <w:sz w:val="23"/>
        </w:rPr>
        <w:t xml:space="preserve">Konsistensi SVM: </w:t>
      </w:r>
      <w:r>
        <w:rPr>
          <w:rFonts w:ascii="Times New Roman" w:hAnsi="Times New Roman"/>
          <w:sz w:val="23"/>
        </w:rPr>
        <w:t>SVM kembali membuktikan superioritasnya dalam memisahkan ruang fitur laten berdimensi 512.</w:t>
      </w:r>
    </w:p>
    <w:p>
      <w:pPr>
        <w:pStyle w:val="ListBullet"/>
        <w:spacing w:before="0" w:after="60" w:line="276" w:lineRule="auto"/>
        <w:jc w:val="both"/>
      </w:pPr>
      <w:r>
        <w:rPr>
          <w:rFonts w:ascii="Times New Roman" w:hAnsi="Times New Roman"/>
          <w:b/>
          <w:sz w:val="23"/>
        </w:rPr>
        <w:t xml:space="preserve">Kesiapan Komponen Fusi: </w:t>
      </w:r>
      <w:r>
        <w:rPr>
          <w:rFonts w:ascii="Times New Roman" w:hAnsi="Times New Roman"/>
          <w:sz w:val="23"/>
        </w:rPr>
        <w:t>Representasi NTSC sangat ideal dijadikan komponen komplementer dalam fusi multi-domain.</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Praktikum pelatihan pada notebook 5_GrayNTSC_train.ipynb disimpulkan sebagai berikut:</w:t>
      </w:r>
    </w:p>
    <w:p>
      <w:pPr>
        <w:pStyle w:val="ListBullet"/>
        <w:spacing w:before="0" w:after="60" w:line="276" w:lineRule="auto"/>
        <w:jc w:val="both"/>
      </w:pPr>
      <w:r>
        <w:rPr>
          <w:rFonts w:ascii="Times New Roman" w:hAnsi="Times New Roman"/>
          <w:b/>
          <w:sz w:val="23"/>
        </w:rPr>
        <w:t xml:space="preserve">1. Transformasi Perseptual: </w:t>
      </w:r>
      <w:r>
        <w:rPr>
          <w:rFonts w:ascii="Times New Roman" w:hAnsi="Times New Roman"/>
          <w:sz w:val="23"/>
        </w:rPr>
        <w:t>Transformasi Grayscale NTSC BT.601 berhasil diimplementasikan dan divalidasi.</w:t>
      </w:r>
    </w:p>
    <w:p>
      <w:pPr>
        <w:pStyle w:val="ListBullet"/>
        <w:spacing w:before="0" w:after="60" w:line="276" w:lineRule="auto"/>
        <w:jc w:val="both"/>
      </w:pPr>
      <w:r>
        <w:rPr>
          <w:rFonts w:ascii="Times New Roman" w:hAnsi="Times New Roman"/>
          <w:b/>
          <w:sz w:val="23"/>
        </w:rPr>
        <w:t xml:space="preserve">2. Performa CNN NTSC: </w:t>
      </w:r>
      <w:r>
        <w:rPr>
          <w:rFonts w:ascii="Times New Roman" w:hAnsi="Times New Roman"/>
          <w:sz w:val="23"/>
        </w:rPr>
        <w:t>Custom CNN 1-kanal meraih akurasi validasi 91.24%, melampaui rata-rata aritmatika.</w:t>
      </w:r>
    </w:p>
    <w:p>
      <w:pPr>
        <w:pStyle w:val="ListBullet"/>
        <w:spacing w:before="0" w:after="60" w:line="276" w:lineRule="auto"/>
        <w:jc w:val="both"/>
      </w:pPr>
      <w:r>
        <w:rPr>
          <w:rFonts w:ascii="Times New Roman" w:hAnsi="Times New Roman"/>
          <w:b/>
          <w:sz w:val="23"/>
        </w:rPr>
        <w:t xml:space="preserve">3. Keunggulan SVM: </w:t>
      </w:r>
      <w:r>
        <w:rPr>
          <w:rFonts w:ascii="Times New Roman" w:hAnsi="Times New Roman"/>
          <w:sz w:val="23"/>
        </w:rPr>
        <w:t>SVM RBF Classifier meraih akurasi validasi 91.56%, melampaui target 86.00%.</w:t>
      </w:r>
    </w:p>
    <w:p>
      <w:pPr>
        <w:pStyle w:val="ListBullet"/>
        <w:spacing w:before="0" w:after="60" w:line="276" w:lineRule="auto"/>
        <w:jc w:val="both"/>
      </w:pPr>
      <w:r>
        <w:rPr>
          <w:rFonts w:ascii="Times New Roman" w:hAnsi="Times New Roman"/>
          <w:b/>
          <w:sz w:val="23"/>
        </w:rPr>
        <w:t xml:space="preserve">4. Kesiapan Artefak: </w:t>
      </w:r>
      <w:r>
        <w:rPr>
          <w:rFonts w:ascii="Times New Roman" w:hAnsi="Times New Roman"/>
          <w:sz w:val="23"/>
        </w:rPr>
        <w:t>Seluruh artefak model (.keras, .pkl) berhasil diekspor untuk tahap pengujian independen.</w:t>
      </w:r>
    </w:p>
    <w:p>
      <w:pPr>
        <w:pStyle w:val="ListBullet"/>
        <w:spacing w:before="0" w:after="60" w:line="276" w:lineRule="auto"/>
        <w:jc w:val="both"/>
      </w:pPr>
      <w:r>
        <w:rPr>
          <w:rFonts w:ascii="Times New Roman" w:hAnsi="Times New Roman"/>
          <w:b/>
          <w:sz w:val="23"/>
        </w:rPr>
        <w:t xml:space="preserve">5. Validasi Teoretis: </w:t>
      </w:r>
      <w:r>
        <w:rPr>
          <w:rFonts w:ascii="Times New Roman" w:hAnsi="Times New Roman"/>
          <w:sz w:val="23"/>
        </w:rPr>
        <w:t>Teori luminansi perseptual terbukti secara empiris memberikan representasi monokromatik superior.</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