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5339"/>
          <w:sz w:val="28"/>
        </w:rPr>
        <w:t>LAPORAN PERTEMUAN</w:t>
        <w:br/>
        <w:t>EVALUASI AKHIR FEATURE ENGINEERING MULTI-DOMAIN CONCATENATIVE FUSION (1.536 DIMENSI) PADA 10.000 TEST SET CIFAR-10</w:t>
      </w:r>
    </w:p>
    <w:p>
      <w:pPr>
        <w:spacing w:before="80" w:after="280"/>
        <w:jc w:val="center"/>
      </w:pPr>
      <w:r>
        <w:rPr>
          <w:rFonts w:ascii="Times New Roman" w:hAnsi="Times New Roman"/>
          <w:b/>
          <w:sz w:val="24"/>
        </w:rPr>
        <w:t>Pengujian Independen Akhir, Pembuktian Target Akurasi &gt;= 95.00%, dan Analisis Komparatif Seluruh Alur Eksperimen</w:t>
        <w:br/>
        <w:t>(8_Fusion_test.ipynb)</w:t>
      </w:r>
    </w:p>
    <w:p>
      <w:pPr>
        <w:spacing w:before="160" w:after="440"/>
        <w:jc w:val="center"/>
      </w:pPr>
      <w:r>
        <w:rPr>
          <w:rFonts w:ascii="Times New Roman" w:hAnsi="Times New Roman"/>
          <w:sz w:val="24"/>
        </w:rPr>
        <w:t>Mata Kuliah: Big Data Analytic</w:t>
        <w:br/>
        <w:t>Dosen Pengampu: Bayu Adi Nugroho, Ph.D</w:t>
      </w:r>
    </w:p>
    <w:p>
      <w:pPr>
        <w:spacing w:before="200" w:after="520"/>
        <w:jc w:val="center"/>
      </w:pPr>
      <w:r>
        <w:drawing>
          <wp:inline xmlns:a="http://schemas.openxmlformats.org/drawingml/2006/main" xmlns:pic="http://schemas.openxmlformats.org/drawingml/2006/picture">
            <wp:extent cx="2011680" cy="1563075"/>
            <wp:docPr id="1" name="Picture 1"/>
            <wp:cNvGraphicFramePr>
              <a:graphicFrameLocks noChangeAspect="1"/>
            </wp:cNvGraphicFramePr>
            <a:graphic>
              <a:graphicData uri="http://schemas.openxmlformats.org/drawingml/2006/picture">
                <pic:pic>
                  <pic:nvPicPr>
                    <pic:cNvPr id="0" name="uin_logo.png"/>
                    <pic:cNvPicPr/>
                  </pic:nvPicPr>
                  <pic:blipFill>
                    <a:blip r:embed="rId10"/>
                    <a:stretch>
                      <a:fillRect/>
                    </a:stretch>
                  </pic:blipFill>
                  <pic:spPr>
                    <a:xfrm>
                      <a:off x="0" y="0"/>
                      <a:ext cx="2011680" cy="1563075"/>
                    </a:xfrm>
                    <a:prstGeom prst="rect"/>
                  </pic:spPr>
                </pic:pic>
              </a:graphicData>
            </a:graphic>
          </wp:inline>
        </w:drawing>
      </w:r>
    </w:p>
    <w:p>
      <w:pPr>
        <w:spacing w:before="280" w:after="80"/>
        <w:jc w:val="center"/>
      </w:pPr>
      <w:r>
        <w:rPr>
          <w:rFonts w:ascii="Times New Roman" w:hAnsi="Times New Roman"/>
          <w:b/>
          <w:sz w:val="24"/>
        </w:rPr>
        <w:t>Disusun Oleh:</w:t>
      </w:r>
    </w:p>
    <w:p>
      <w:pPr>
        <w:spacing w:before="0" w:after="600"/>
        <w:jc w:val="center"/>
      </w:pPr>
      <w:r>
        <w:rPr>
          <w:rFonts w:ascii="Times New Roman" w:hAnsi="Times New Roman"/>
          <w:b/>
          <w:sz w:val="24"/>
        </w:rPr>
        <w:t>Daffa Danendra Fairuzza – 09020624026</w:t>
      </w:r>
    </w:p>
    <w:p>
      <w:pPr>
        <w:spacing w:before="360" w:after="0"/>
        <w:jc w:val="center"/>
      </w:pPr>
      <w:r>
        <w:rPr>
          <w:rFonts w:ascii="Times New Roman" w:hAnsi="Times New Roman"/>
          <w:b/>
          <w:sz w:val="24"/>
        </w:rPr>
        <w:t>PROGRAM STUDI SISTEM INFORMASI</w:t>
        <w:br/>
        <w:t>FAKULTAS SAINS DAN TEKNOLOGI</w:t>
        <w:br/>
        <w:t>UNIVERSITAS ISLAM NEGERI SUNAN AMPEL SURABAYA</w:t>
        <w:br/>
        <w:t>2026</w:t>
      </w:r>
    </w:p>
    <w:p>
      <w:r>
        <w:br w:type="page"/>
      </w:r>
    </w:p>
    <w:tbl>
      <w:tblPr>
        <w:tblW w:type="auto" w:w="0"/>
        <w:jc w:val="center"/>
        <w:tblLayout w:type="fixed"/>
        <w:tblLook w:firstColumn="1" w:firstRow="1" w:lastColumn="0" w:lastRow="0" w:noHBand="0" w:noVBand="1" w:val="04A0"/>
      </w:tblPr>
      <w:tblGrid>
        <w:gridCol w:w="9029"/>
      </w:tblGrid>
      <w:tr>
        <w:tc>
          <w:tcPr>
            <w:tcW w:type="dxa" w:w="9029"/>
            <w:shd w:fill="EBF2EC"/>
            <w:tcMar>
              <w:top w:w="140" w:type="dxa"/>
              <w:bottom w:w="140" w:type="dxa"/>
              <w:left w:w="180" w:type="dxa"/>
              <w:right w:w="180" w:type="dxa"/>
            </w:tcMar>
            <w:tcBorders>
              <w:left w:val="single" w:sz="24" w:space="0" w:color="2E5339"/>
              <w:top w:val="none"/>
              <w:bottom w:val="none"/>
              <w:right w:val="none"/>
            </w:tcBorders>
          </w:tcPr>
          <w:p>
            <w:pPr>
              <w:spacing w:before="0" w:after="0" w:line="276" w:lineRule="auto"/>
              <w:jc w:val="both"/>
            </w:pPr>
            <w:r>
              <w:rPr>
                <w:rFonts w:ascii="Times New Roman" w:hAnsi="Times New Roman"/>
                <w:b/>
                <w:color w:val="2E5339"/>
                <w:sz w:val="21"/>
              </w:rPr>
              <w:t xml:space="preserve">💡 PENCAPAIAN TARGET AKHIR PRAKTIKUM (AKURASI 95.14%): </w:t>
            </w:r>
            <w:r>
              <w:rPr>
                <w:rFonts w:ascii="Times New Roman" w:hAnsi="Times New Roman"/>
                <w:sz w:val="21"/>
              </w:rPr>
              <w:t>PENGUJIAN AKHIR INDEPENDEN: Evaluasi akhir pada 10.000 citra test set resmi CIFAR-10 membuktikan bahwa arsitektur Feature Engineering Multi-Domain Concatenative Fusion (1.536-D) + Consensus SVM berhasil meraih AKURASI AKHIR SEBESAR 95.14%, MELAMPAUI TARGET AMBANG BATAS PRAKTIKUM (&gt;= 95.00%). Pencapaian ini diraih murni menggunakan Custom CNN from scratch tanpa model pretrained ImageNet.</w:t>
            </w:r>
          </w:p>
        </w:tc>
      </w:tr>
    </w:tbl>
    <w:p>
      <w:pPr>
        <w:spacing w:before="0" w:after="80"/>
      </w:pPr>
    </w:p>
    <w:p>
      <w:pPr>
        <w:keepNext/>
        <w:spacing w:before="280" w:after="80"/>
      </w:pPr>
      <w:r>
        <w:rPr>
          <w:rFonts w:ascii="Times New Roman" w:hAnsi="Times New Roman"/>
          <w:b/>
          <w:color w:val="2E5339"/>
          <w:sz w:val="26"/>
        </w:rPr>
        <w:t>1. Tujuan Evaluasi</w:t>
      </w:r>
    </w:p>
    <w:p>
      <w:pPr>
        <w:spacing w:before="0" w:after="100" w:line="276" w:lineRule="auto"/>
        <w:jc w:val="both"/>
      </w:pPr>
      <w:r>
        <w:rPr>
          <w:rFonts w:ascii="Times New Roman" w:hAnsi="Times New Roman"/>
          <w:i w:val="0"/>
          <w:sz w:val="23"/>
        </w:rPr>
        <w:t>Tujuan evaluasi akhir pada notebook 8_Fusion_test.ipynb adalah menguji secara definitif seluruh pipeline Feature Engineering Multi-Domain Concatenative Fusion (1.536 Dimensi) pada 10.000 citra test set resmi CIFAR-10 yang diisolasi penuh. Evaluasi ini menjadi verifikasi ilmiah puncak untuk membuktikan apakah target akhir praktikum (akurasi &gt;= 95.00%) dapat dicapai secara sah tanpa mengandalkan bobot pretrained ImageNet.</w:t>
      </w:r>
    </w:p>
    <w:p>
      <w:pPr>
        <w:spacing w:before="0" w:after="100" w:line="276" w:lineRule="auto"/>
        <w:jc w:val="both"/>
      </w:pPr>
      <w:r>
        <w:rPr>
          <w:rFonts w:ascii="Times New Roman" w:hAnsi="Times New Roman"/>
          <w:i w:val="0"/>
          <w:sz w:val="23"/>
        </w:rPr>
        <w:t>Pengujian ini mengintegrasikan seluruh rantai pengolahan citra dari tahap ekstraksi fitur tri-domain, konkatenasi 1.536-D, standardisasi per-domain, normalisasi L2-hyperspherical, hingga prediksi fungsi keputusan SVM.</w:t>
      </w:r>
    </w:p>
    <w:p>
      <w:pPr>
        <w:spacing w:before="0" w:after="100" w:line="276" w:lineRule="auto"/>
        <w:jc w:val="both"/>
      </w:pPr>
      <w:r>
        <w:rPr>
          <w:rFonts w:ascii="Times New Roman" w:hAnsi="Times New Roman"/>
          <w:i w:val="0"/>
          <w:sz w:val="23"/>
        </w:rPr>
        <w:t>Sasaran spesifik evaluasi mencakup:</w:t>
      </w:r>
    </w:p>
    <w:p>
      <w:pPr>
        <w:pStyle w:val="ListBullet"/>
        <w:spacing w:before="0" w:after="60" w:line="276" w:lineRule="auto"/>
        <w:jc w:val="both"/>
      </w:pPr>
      <w:r>
        <w:rPr>
          <w:rFonts w:ascii="Times New Roman" w:hAnsi="Times New Roman"/>
          <w:b/>
          <w:sz w:val="23"/>
        </w:rPr>
        <w:t xml:space="preserve">1. Validasi Pipeline Inferensi End-to-End: </w:t>
      </w:r>
      <w:r>
        <w:rPr>
          <w:rFonts w:ascii="Times New Roman" w:hAnsi="Times New Roman"/>
          <w:sz w:val="23"/>
        </w:rPr>
        <w:t>Menjalankan pipeline inferensi terintegrasi end-to-end dari citra mentah hingga prediksi SVM.</w:t>
      </w:r>
    </w:p>
    <w:p>
      <w:pPr>
        <w:pStyle w:val="ListBullet"/>
        <w:spacing w:before="0" w:after="60" w:line="276" w:lineRule="auto"/>
        <w:jc w:val="both"/>
      </w:pPr>
      <w:r>
        <w:rPr>
          <w:rFonts w:ascii="Times New Roman" w:hAnsi="Times New Roman"/>
          <w:b/>
          <w:sz w:val="23"/>
        </w:rPr>
        <w:t xml:space="preserve">2. Pengukuran Metrik Akhir: </w:t>
      </w:r>
      <w:r>
        <w:rPr>
          <w:rFonts w:ascii="Times New Roman" w:hAnsi="Times New Roman"/>
          <w:sz w:val="23"/>
        </w:rPr>
        <w:t>Mengukur akurasi akhir, precision, recall, dan Macro F1-Score pada 10.000 data test resmi.</w:t>
      </w:r>
    </w:p>
    <w:p>
      <w:pPr>
        <w:pStyle w:val="ListBullet"/>
        <w:spacing w:before="0" w:after="60" w:line="276" w:lineRule="auto"/>
        <w:jc w:val="both"/>
      </w:pPr>
      <w:r>
        <w:rPr>
          <w:rFonts w:ascii="Times New Roman" w:hAnsi="Times New Roman"/>
          <w:b/>
          <w:sz w:val="23"/>
        </w:rPr>
        <w:t xml:space="preserve">3. Analisis Matriks Konfusi: </w:t>
      </w:r>
      <w:r>
        <w:rPr>
          <w:rFonts w:ascii="Times New Roman" w:hAnsi="Times New Roman"/>
          <w:sz w:val="23"/>
        </w:rPr>
        <w:t>Menyusun matriks konfusi final 10x10 dan menganalisis reduksi kesalahan misklasifikasi.</w:t>
      </w:r>
    </w:p>
    <w:p>
      <w:pPr>
        <w:pStyle w:val="ListBullet"/>
        <w:spacing w:before="0" w:after="60" w:line="276" w:lineRule="auto"/>
        <w:jc w:val="both"/>
      </w:pPr>
      <w:r>
        <w:rPr>
          <w:rFonts w:ascii="Times New Roman" w:hAnsi="Times New Roman"/>
          <w:b/>
          <w:sz w:val="23"/>
        </w:rPr>
        <w:t xml:space="preserve">4. Komparasi Master 4 Alur: </w:t>
      </w:r>
      <w:r>
        <w:rPr>
          <w:rFonts w:ascii="Times New Roman" w:hAnsi="Times New Roman"/>
          <w:sz w:val="23"/>
        </w:rPr>
        <w:t>Menyusun tabel komparatif master untuk membandingkan performa seluruh 4 alur praktikum.</w:t>
      </w:r>
    </w:p>
    <w:p>
      <w:pPr>
        <w:pStyle w:val="ListBullet"/>
        <w:spacing w:before="0" w:after="60" w:line="276" w:lineRule="auto"/>
        <w:jc w:val="both"/>
      </w:pPr>
      <w:r>
        <w:rPr>
          <w:rFonts w:ascii="Times New Roman" w:hAnsi="Times New Roman"/>
          <w:b/>
          <w:sz w:val="23"/>
        </w:rPr>
        <w:t xml:space="preserve">5. Sintesis Ilmiah 7 Pilar Rekayasa Fitur: </w:t>
      </w:r>
      <w:r>
        <w:rPr>
          <w:rFonts w:ascii="Times New Roman" w:hAnsi="Times New Roman"/>
          <w:sz w:val="23"/>
        </w:rPr>
        <w:t>Menjabarkan pembahasan teoretis 7 Pilar Feature Engineering yang melandasi keberhasilan proyek.</w:t>
      </w:r>
    </w:p>
    <w:p>
      <w:pPr>
        <w:spacing w:before="0" w:after="100" w:line="276" w:lineRule="auto"/>
        <w:jc w:val="both"/>
      </w:pPr>
      <w:r>
        <w:rPr>
          <w:rFonts w:ascii="Times New Roman" w:hAnsi="Times New Roman"/>
          <w:i w:val="0"/>
          <w:sz w:val="23"/>
        </w:rPr>
        <w:t>Pencapaian pada pengujian ini menjadi bukti puncak keberhasilan praktikum Big Data Analytics.</w:t>
      </w:r>
    </w:p>
    <w:p>
      <w:pPr>
        <w:keepNext/>
        <w:spacing w:before="280" w:after="80"/>
      </w:pPr>
      <w:r>
        <w:rPr>
          <w:rFonts w:ascii="Times New Roman" w:hAnsi="Times New Roman"/>
          <w:b/>
          <w:color w:val="2E5339"/>
          <w:sz w:val="26"/>
        </w:rPr>
        <w:t>2. Prinsip Evaluasi &amp; Anti-Data Leakage</w:t>
      </w:r>
    </w:p>
    <w:p>
      <w:pPr>
        <w:spacing w:before="0" w:after="100" w:line="276" w:lineRule="auto"/>
        <w:jc w:val="both"/>
      </w:pPr>
      <w:r>
        <w:rPr>
          <w:rFonts w:ascii="Times New Roman" w:hAnsi="Times New Roman"/>
          <w:i w:val="0"/>
          <w:sz w:val="23"/>
        </w:rPr>
        <w:t>Kepatuhan mutlak terhadap prinsip anti-data leakage ditegakkan secara ketat pada pengujian akhir ini:</w:t>
      </w:r>
    </w:p>
    <w:p>
      <w:pPr>
        <w:pStyle w:val="ListBullet"/>
        <w:spacing w:before="0" w:after="60" w:line="276" w:lineRule="auto"/>
        <w:jc w:val="both"/>
      </w:pPr>
      <w:r>
        <w:rPr>
          <w:rFonts w:ascii="Times New Roman" w:hAnsi="Times New Roman"/>
          <w:b/>
          <w:sz w:val="23"/>
        </w:rPr>
        <w:t xml:space="preserve">1. Pembekuan Bobot Model: </w:t>
      </w:r>
      <w:r>
        <w:rPr>
          <w:rFonts w:ascii="Times New Roman" w:hAnsi="Times New Roman"/>
          <w:sz w:val="23"/>
        </w:rPr>
        <w:t>Seluruh bobot ketiga Custom CNN dan model Fused SVM dibekukan total (frozen).</w:t>
      </w:r>
    </w:p>
    <w:p>
      <w:pPr>
        <w:pStyle w:val="ListBullet"/>
        <w:spacing w:before="0" w:after="60" w:line="276" w:lineRule="auto"/>
        <w:jc w:val="both"/>
      </w:pPr>
      <w:r>
        <w:rPr>
          <w:rFonts w:ascii="Times New Roman" w:hAnsi="Times New Roman"/>
          <w:b/>
          <w:sz w:val="23"/>
        </w:rPr>
        <w:t xml:space="preserve">2. Transformasi Skalar Murni: </w:t>
      </w:r>
      <w:r>
        <w:rPr>
          <w:rFonts w:ascii="Times New Roman" w:hAnsi="Times New Roman"/>
          <w:sz w:val="23"/>
        </w:rPr>
        <w:t>Penskalaan fitur pada data uji hanya memanggil .transform() dari objek scaler training tanpa penyesuaian parameter.</w:t>
      </w:r>
    </w:p>
    <w:p>
      <w:pPr>
        <w:pStyle w:val="ListBullet"/>
        <w:spacing w:before="0" w:after="60" w:line="276" w:lineRule="auto"/>
        <w:jc w:val="both"/>
      </w:pPr>
      <w:r>
        <w:rPr>
          <w:rFonts w:ascii="Times New Roman" w:hAnsi="Times New Roman"/>
          <w:b/>
          <w:sz w:val="23"/>
        </w:rPr>
        <w:t xml:space="preserve">3. Inferensi Murni Tanpa Modifikasi: </w:t>
      </w:r>
      <w:r>
        <w:rPr>
          <w:rFonts w:ascii="Times New Roman" w:hAnsi="Times New Roman"/>
          <w:sz w:val="23"/>
        </w:rPr>
        <w:t>Seluruh 10.000 label prediksi dihasilkan murni dari evaluasi matematis fungsi keputusan kernel SVM tanpa ada koreksi buatan.</w:t>
      </w:r>
    </w:p>
    <w:p>
      <w:pPr>
        <w:pStyle w:val="ListBullet"/>
        <w:spacing w:before="0" w:after="60" w:line="276" w:lineRule="auto"/>
        <w:jc w:val="both"/>
      </w:pPr>
      <w:r>
        <w:rPr>
          <w:rFonts w:ascii="Times New Roman" w:hAnsi="Times New Roman"/>
          <w:b/>
          <w:sz w:val="23"/>
        </w:rPr>
        <w:t xml:space="preserve">4. Karantina Data Uji: </w:t>
      </w:r>
      <w:r>
        <w:rPr>
          <w:rFonts w:ascii="Times New Roman" w:hAnsi="Times New Roman"/>
          <w:sz w:val="23"/>
        </w:rPr>
        <w:t>Tidak ada data test yang digunakan untuk proses penalaan hyperparameter maupun pemilihan ambang batas keputusan.</w:t>
      </w:r>
    </w:p>
    <w:p>
      <w:pPr>
        <w:spacing w:before="0" w:after="100" w:line="276" w:lineRule="auto"/>
        <w:jc w:val="both"/>
      </w:pPr>
      <w:r>
        <w:rPr>
          <w:rFonts w:ascii="Times New Roman" w:hAnsi="Times New Roman"/>
          <w:i w:val="0"/>
          <w:sz w:val="23"/>
        </w:rPr>
        <w:t>Integritas metodologis ini menjamin bahwa pencapaian akurasi 95.14% adalah murni, valid, dan dapat direproduksi secara deterministik.</w:t>
      </w:r>
    </w:p>
    <w:p>
      <w:pPr>
        <w:keepNext/>
        <w:spacing w:before="280" w:after="80"/>
      </w:pPr>
      <w:r>
        <w:rPr>
          <w:rFonts w:ascii="Times New Roman" w:hAnsi="Times New Roman"/>
          <w:b/>
          <w:color w:val="2E5339"/>
          <w:sz w:val="26"/>
        </w:rPr>
        <w:t>3. Environment dan Konfigurasi</w:t>
      </w:r>
    </w:p>
    <w:p>
      <w:pPr>
        <w:spacing w:before="0" w:after="100" w:line="276" w:lineRule="auto"/>
        <w:jc w:val="both"/>
      </w:pPr>
      <w:r>
        <w:rPr>
          <w:rFonts w:ascii="Times New Roman" w:hAnsi="Times New Roman"/>
          <w:i w:val="0"/>
          <w:sz w:val="23"/>
        </w:rPr>
        <w:t>Spesifikasi lingkungan komputasi dan konfigurasi sistem pada evaluasi akhir dirangkum pada tabel berikut: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14"/>
        <w:gridCol w:w="4514"/>
      </w:tblGrid>
      <w:tr>
        <w:tc>
          <w:tcPr>
            <w:tcW w:type="dxa" w:w="2592"/>
            <w:shd w:fill="FFFFFF"/>
            <w:tcMar>
              <w:top w:w="100" w:type="dxa"/>
              <w:bottom w:w="100" w:type="dxa"/>
              <w:left w:w="130" w:type="dxa"/>
              <w:right w:w="130" w:type="dxa"/>
            </w:tcMar>
          </w:tcPr>
          <w:p>
            <w:pPr>
              <w:jc w:val="left"/>
            </w:pPr>
            <w:r>
              <w:rPr>
                <w:rFonts w:ascii="Times New Roman" w:hAnsi="Times New Roman"/>
                <w:b/>
                <w:color w:val="000000"/>
                <w:sz w:val="21"/>
              </w:rPr>
              <w:t>Item</w:t>
            </w:r>
          </w:p>
        </w:tc>
        <w:tc>
          <w:tcPr>
            <w:tcW w:type="dxa" w:w="6437"/>
            <w:shd w:fill="FFFFFF"/>
            <w:tcMar>
              <w:top w:w="100" w:type="dxa"/>
              <w:bottom w:w="100" w:type="dxa"/>
              <w:left w:w="130" w:type="dxa"/>
              <w:right w:w="130" w:type="dxa"/>
            </w:tcMar>
          </w:tcPr>
          <w:p>
            <w:pPr>
              <w:jc w:val="left"/>
            </w:pPr>
            <w:r>
              <w:rPr>
                <w:rFonts w:ascii="Times New Roman" w:hAnsi="Times New Roman"/>
                <w:b/>
                <w:color w:val="000000"/>
                <w:sz w:val="21"/>
              </w:rPr>
              <w:t>Keterangan</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Sumber Kode</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8_Fusion_test.ipynb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Environment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Jupyter Notebook (lokal), kernel Python (CNNgpu), TensorFlow 2.10.1, GPU terdeteksi (GPU available: True)</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CPU</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Intel Core i7-13620H</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GPU</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Hybrid Graphics: NVIDIA GeForce RTX 2050 4GB (Discrete GPU) + Intel UHD Graphics (Integrated GPU)</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RAM</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16 GB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Framework</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TensorFlow / Keras, scikit-learn (GridSearchCV, SVC, Pipeline), h5py, Matplotlib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Dataset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CIFAR-10 data testing resmi (10.000 citra RGB, Gray AVG, Gray NTSC; 1.000 per kelas)</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Reproducibility</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RANDOM_STATE = 23092026</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Model yang Diuji</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fused_svm_pipeline.pkl, master_accuracy_comparison.png, confusion_matrix_svm.png</w:t>
            </w:r>
          </w:p>
        </w:tc>
      </w:tr>
    </w:tbl>
    <w:p>
      <w:pPr>
        <w:spacing w:before="0" w:after="120"/>
      </w:pPr>
    </w:p>
    <w:p>
      <w:pPr>
        <w:spacing w:before="0" w:after="100" w:line="276" w:lineRule="auto"/>
        <w:jc w:val="both"/>
      </w:pPr>
      <w:r>
        <w:rPr>
          <w:rFonts w:ascii="Times New Roman" w:hAnsi="Times New Roman"/>
          <w:i w:val="0"/>
          <w:sz w:val="23"/>
        </w:rPr>
        <w:t>Eksekusi pipeline inferensi multi-domain pada 10.000 sampel pengujian membutuhkan waktu total 18.4 detik pada GPU RTX 2050 dan prosesor multi-core.</w:t>
      </w:r>
    </w:p>
    <w:p>
      <w:pPr>
        <w:spacing w:before="0" w:after="100" w:line="276" w:lineRule="auto"/>
        <w:jc w:val="both"/>
      </w:pPr>
      <w:r>
        <w:rPr>
          <w:rFonts w:ascii="Times New Roman" w:hAnsi="Times New Roman"/>
          <w:i w:val="0"/>
          <w:sz w:val="23"/>
        </w:rPr>
        <w:t>Throughput pemrosesan stabil pada kisaran 543 citra per detik, membuktikan efisiensi pipeline untuk deployment nyata.</w:t>
      </w:r>
    </w:p>
    <w:p>
      <w:pPr>
        <w:keepNext/>
        <w:spacing w:before="280" w:after="80"/>
      </w:pPr>
      <w:r>
        <w:rPr>
          <w:rFonts w:ascii="Times New Roman" w:hAnsi="Times New Roman"/>
          <w:b/>
          <w:color w:val="2E5339"/>
          <w:sz w:val="26"/>
        </w:rPr>
        <w:t>4. Pipeline Inferensi Akhir</w:t>
      </w:r>
    </w:p>
    <w:p>
      <w:pPr>
        <w:spacing w:before="0" w:after="100" w:line="276" w:lineRule="auto"/>
        <w:jc w:val="both"/>
      </w:pPr>
      <w:r>
        <w:rPr>
          <w:rFonts w:ascii="Times New Roman" w:hAnsi="Times New Roman"/>
          <w:i w:val="0"/>
          <w:sz w:val="23"/>
        </w:rPr>
        <w:t>Arsitektur inferensi akhir beroperasi melalui tahapan komputasi sekuensial yang deterministik:</w:t>
      </w:r>
    </w:p>
    <w:p>
      <w:pPr>
        <w:pStyle w:val="ListBullet"/>
        <w:spacing w:before="0" w:after="60" w:line="276" w:lineRule="auto"/>
        <w:jc w:val="both"/>
      </w:pPr>
      <w:r>
        <w:rPr>
          <w:rFonts w:ascii="Times New Roman" w:hAnsi="Times New Roman"/>
          <w:b/>
          <w:sz w:val="23"/>
        </w:rPr>
        <w:t xml:space="preserve">Tahap 1: Masukan Citra Mentah: </w:t>
      </w:r>
      <w:r>
        <w:rPr>
          <w:rFonts w:ascii="Times New Roman" w:hAnsi="Times New Roman"/>
          <w:sz w:val="23"/>
        </w:rPr>
        <w:t>Menerima 10.000 citra test set resmi CIFAR-10 dalam representasi mentah uint8 [0, 255].</w:t>
      </w:r>
    </w:p>
    <w:p>
      <w:pPr>
        <w:pStyle w:val="ListBullet"/>
        <w:spacing w:before="0" w:after="60" w:line="276" w:lineRule="auto"/>
        <w:jc w:val="both"/>
      </w:pPr>
      <w:r>
        <w:rPr>
          <w:rFonts w:ascii="Times New Roman" w:hAnsi="Times New Roman"/>
          <w:b/>
          <w:sz w:val="23"/>
        </w:rPr>
        <w:t xml:space="preserve">Tahap 2: Transformasi Tri-Domain: </w:t>
      </w:r>
      <w:r>
        <w:rPr>
          <w:rFonts w:ascii="Times New Roman" w:hAnsi="Times New Roman"/>
          <w:sz w:val="23"/>
        </w:rPr>
        <w:t>Menghasilkan tiga varian tensor: RGB (32, 32, 3), Gray AVG (32, 32, 1), dan Gray NTSC (32, 32, 1), dinormalisasi ke skala float [0.0, 1.0].</w:t>
      </w:r>
    </w:p>
    <w:p>
      <w:pPr>
        <w:pStyle w:val="ListBullet"/>
        <w:spacing w:before="0" w:after="60" w:line="276" w:lineRule="auto"/>
        <w:jc w:val="both"/>
      </w:pPr>
      <w:r>
        <w:rPr>
          <w:rFonts w:ascii="Times New Roman" w:hAnsi="Times New Roman"/>
          <w:b/>
          <w:sz w:val="23"/>
        </w:rPr>
        <w:t xml:space="preserve">Tahap 3: Ekstraksi Fitur Paralel: </w:t>
      </w:r>
      <w:r>
        <w:rPr>
          <w:rFonts w:ascii="Times New Roman" w:hAnsi="Times New Roman"/>
          <w:sz w:val="23"/>
        </w:rPr>
        <w:t>Mengalirkan masing-masing tensor ke backbone Custom CNN yang bersesuaian dengan teknik TTA horizontal flip untuk mengekstrak tiga matriks fitur 512-D.</w:t>
      </w:r>
    </w:p>
    <w:p>
      <w:pPr>
        <w:pStyle w:val="ListBullet"/>
        <w:spacing w:before="0" w:after="60" w:line="276" w:lineRule="auto"/>
        <w:jc w:val="both"/>
      </w:pPr>
      <w:r>
        <w:rPr>
          <w:rFonts w:ascii="Times New Roman" w:hAnsi="Times New Roman"/>
          <w:b/>
          <w:sz w:val="23"/>
        </w:rPr>
        <w:t xml:space="preserve">Tahap 4: Concatenative Fusion (1.536-D): </w:t>
      </w:r>
      <w:r>
        <w:rPr>
          <w:rFonts w:ascii="Times New Roman" w:hAnsi="Times New Roman"/>
          <w:sz w:val="23"/>
        </w:rPr>
        <w:t>Menggabungkan ketiga matriks secara horisontal menjadi matriks fitur gabungan berdimensi (10000, 1536).</w:t>
      </w:r>
    </w:p>
    <w:p>
      <w:pPr>
        <w:pStyle w:val="ListBullet"/>
        <w:spacing w:before="0" w:after="60" w:line="276" w:lineRule="auto"/>
        <w:jc w:val="both"/>
      </w:pPr>
      <w:r>
        <w:rPr>
          <w:rFonts w:ascii="Times New Roman" w:hAnsi="Times New Roman"/>
          <w:b/>
          <w:sz w:val="23"/>
        </w:rPr>
        <w:t xml:space="preserve">Tahap 5: Normalisasi Mode D + L2: </w:t>
      </w:r>
      <w:r>
        <w:rPr>
          <w:rFonts w:ascii="Times New Roman" w:hAnsi="Times New Roman"/>
          <w:sz w:val="23"/>
        </w:rPr>
        <w:t>Menerapkan standardisasi per-domain dilanjutkan dengan proyeksi L2-hyperspherical normalization z = x / ||x||_2.</w:t>
      </w:r>
    </w:p>
    <w:p>
      <w:pPr>
        <w:pStyle w:val="ListBullet"/>
        <w:spacing w:before="0" w:after="60" w:line="276" w:lineRule="auto"/>
        <w:jc w:val="both"/>
      </w:pPr>
      <w:r>
        <w:rPr>
          <w:rFonts w:ascii="Times New Roman" w:hAnsi="Times New Roman"/>
          <w:b/>
          <w:sz w:val="23"/>
        </w:rPr>
        <w:t xml:space="preserve">Tahap 6: Prediksi Consensus SVM: </w:t>
      </w:r>
      <w:r>
        <w:rPr>
          <w:rFonts w:ascii="Times New Roman" w:hAnsi="Times New Roman"/>
          <w:sz w:val="23"/>
        </w:rPr>
        <w:t>Menghitung fungsi keputusan RBF kernel SVM untuk menghasilkan label kelas akhir [0..9].</w:t>
      </w:r>
    </w:p>
    <w:p>
      <w:pPr>
        <w:spacing w:before="0" w:after="100" w:line="276" w:lineRule="auto"/>
        <w:jc w:val="both"/>
      </w:pPr>
      <w:r>
        <w:rPr>
          <w:rFonts w:ascii="Times New Roman" w:hAnsi="Times New Roman"/>
          <w:i w:val="0"/>
          <w:sz w:val="23"/>
        </w:rPr>
        <w:t>Seluruh tahapan dieksekusi secara otomatis dan deterministik tanpa intervensi manual.</w:t>
      </w:r>
    </w:p>
    <w:p>
      <w:pPr>
        <w:keepNext/>
        <w:spacing w:before="280" w:after="80"/>
      </w:pPr>
      <w:r>
        <w:rPr>
          <w:rFonts w:ascii="Times New Roman" w:hAnsi="Times New Roman"/>
          <w:b/>
          <w:color w:val="2E5339"/>
          <w:sz w:val="26"/>
        </w:rPr>
        <w:t>5. Hasil Evaluasi Akhir SVM Fitur Fusi (10.000 Test Set)</w:t>
      </w:r>
    </w:p>
    <w:p>
      <w:pPr>
        <w:spacing w:before="0" w:after="100" w:line="276" w:lineRule="auto"/>
        <w:jc w:val="both"/>
      </w:pPr>
      <w:r>
        <w:rPr>
          <w:rFonts w:ascii="Times New Roman" w:hAnsi="Times New Roman"/>
          <w:i w:val="0"/>
          <w:sz w:val="23"/>
        </w:rPr>
        <w:t>Pengujian pada 10.000 citra test set resmi CIFAR-10 menghasilkan capaian luar biasa: Test Accuracy = 95.14% dan Macro F1-Score = 95.13%. Rincian metrik evaluasi per kelas disajikan pada Tabel 1:</w:t>
      </w:r>
    </w:p>
    <w:tbl>
      <w:tblPr>
        <w:tblW w:type="auto" w:w="0"/>
        <w:jc w:val="center"/>
        <w:tblLayout w:type="fixed"/>
        <w:tblLook w:firstColumn="1" w:firstRow="1" w:lastColumn="0" w:lastRow="0" w:noHBand="0" w:noVBand="1" w:val="04A0"/>
        <w:tblBorders>
          <w:top w:val="single" w:sz="4" w:space="0" w:color="555555"/>
          <w:bottom w:val="single" w:sz="4" w:space="0" w:color="555555"/>
          <w:left w:val="single" w:sz="4" w:space="0" w:color="555555"/>
          <w:right w:val="single" w:sz="4" w:space="0" w:color="555555"/>
          <w:insideH w:val="single" w:sz="4" w:space="0" w:color="555555"/>
          <w:insideV w:val="single" w:sz="4" w:space="0" w:color="555555"/>
        </w:tblBorders>
      </w:tblPr>
      <w:tblGrid>
        <w:gridCol w:w="1806"/>
        <w:gridCol w:w="1806"/>
        <w:gridCol w:w="1806"/>
        <w:gridCol w:w="1806"/>
        <w:gridCol w:w="1806"/>
      </w:tblGrid>
      <w:tr>
        <w:tc>
          <w:tcPr>
            <w:tcW w:type="dxa" w:w="2304"/>
            <w:shd w:fill="2E5339"/>
            <w:tcMar>
              <w:top w:w="110" w:type="dxa"/>
              <w:bottom w:w="110" w:type="dxa"/>
              <w:left w:w="130" w:type="dxa"/>
              <w:right w:w="130" w:type="dxa"/>
            </w:tcMar>
          </w:tcPr>
          <w:p>
            <w:pPr>
              <w:jc w:val="center"/>
            </w:pPr>
            <w:r>
              <w:rPr>
                <w:rFonts w:ascii="Times New Roman" w:hAnsi="Times New Roman"/>
                <w:b/>
                <w:color w:val="FFFFFF"/>
                <w:sz w:val="20"/>
              </w:rPr>
              <w:t>Kelas Objek</w:t>
            </w:r>
          </w:p>
        </w:tc>
        <w:tc>
          <w:tcPr>
            <w:tcW w:type="dxa" w:w="1656"/>
            <w:shd w:fill="2E5339"/>
            <w:tcMar>
              <w:top w:w="110" w:type="dxa"/>
              <w:bottom w:w="110" w:type="dxa"/>
              <w:left w:w="130" w:type="dxa"/>
              <w:right w:w="130" w:type="dxa"/>
            </w:tcMar>
          </w:tcPr>
          <w:p>
            <w:pPr>
              <w:jc w:val="center"/>
            </w:pPr>
            <w:r>
              <w:rPr>
                <w:rFonts w:ascii="Times New Roman" w:hAnsi="Times New Roman"/>
                <w:b/>
                <w:color w:val="FFFFFF"/>
                <w:sz w:val="20"/>
              </w:rPr>
              <w:t>Precision</w:t>
            </w:r>
          </w:p>
        </w:tc>
        <w:tc>
          <w:tcPr>
            <w:tcW w:type="dxa" w:w="1656"/>
            <w:shd w:fill="2E5339"/>
            <w:tcMar>
              <w:top w:w="110" w:type="dxa"/>
              <w:bottom w:w="110" w:type="dxa"/>
              <w:left w:w="130" w:type="dxa"/>
              <w:right w:w="130" w:type="dxa"/>
            </w:tcMar>
          </w:tcPr>
          <w:p>
            <w:pPr>
              <w:jc w:val="center"/>
            </w:pPr>
            <w:r>
              <w:rPr>
                <w:rFonts w:ascii="Times New Roman" w:hAnsi="Times New Roman"/>
                <w:b/>
                <w:color w:val="FFFFFF"/>
                <w:sz w:val="20"/>
              </w:rPr>
              <w:t>Recall</w:t>
            </w:r>
          </w:p>
        </w:tc>
        <w:tc>
          <w:tcPr>
            <w:tcW w:type="dxa" w:w="1656"/>
            <w:shd w:fill="2E5339"/>
            <w:tcMar>
              <w:top w:w="110" w:type="dxa"/>
              <w:bottom w:w="110" w:type="dxa"/>
              <w:left w:w="130" w:type="dxa"/>
              <w:right w:w="130" w:type="dxa"/>
            </w:tcMar>
          </w:tcPr>
          <w:p>
            <w:pPr>
              <w:jc w:val="center"/>
            </w:pPr>
            <w:r>
              <w:rPr>
                <w:rFonts w:ascii="Times New Roman" w:hAnsi="Times New Roman"/>
                <w:b/>
                <w:color w:val="FFFFFF"/>
                <w:sz w:val="20"/>
              </w:rPr>
              <w:t>F1-Score</w:t>
            </w:r>
          </w:p>
        </w:tc>
        <w:tc>
          <w:tcPr>
            <w:tcW w:type="dxa" w:w="1757"/>
            <w:shd w:fill="2E5339"/>
            <w:tcMar>
              <w:top w:w="110" w:type="dxa"/>
              <w:bottom w:w="110" w:type="dxa"/>
              <w:left w:w="130" w:type="dxa"/>
              <w:right w:w="130" w:type="dxa"/>
            </w:tcMar>
          </w:tcPr>
          <w:p>
            <w:pPr>
              <w:jc w:val="center"/>
            </w:pPr>
            <w:r>
              <w:rPr>
                <w:rFonts w:ascii="Times New Roman" w:hAnsi="Times New Roman"/>
                <w:b/>
                <w:color w:val="FFFFFF"/>
                <w:sz w:val="20"/>
              </w:rPr>
              <w:t>Support</w:t>
            </w:r>
          </w:p>
        </w:tc>
      </w:tr>
      <w:tr>
        <w:tc>
          <w:tcPr>
            <w:tcW w:type="dxa" w:w="2304"/>
            <w:shd w:fill="FFFFFF"/>
            <w:tcMar>
              <w:top w:w="80" w:type="dxa"/>
              <w:bottom w:w="80" w:type="dxa"/>
              <w:left w:w="120" w:type="dxa"/>
              <w:right w:w="120" w:type="dxa"/>
            </w:tcMar>
          </w:tcPr>
          <w:p>
            <w:pPr>
              <w:jc w:val="center"/>
            </w:pPr>
            <w:r>
              <w:rPr>
                <w:rFonts w:ascii="Times New Roman" w:hAnsi="Times New Roman"/>
                <w:sz w:val="19"/>
              </w:rPr>
              <w:t>airplane</w:t>
            </w:r>
          </w:p>
        </w:tc>
        <w:tc>
          <w:tcPr>
            <w:tcW w:type="dxa" w:w="1656"/>
            <w:shd w:fill="FFFFFF"/>
            <w:tcMar>
              <w:top w:w="80" w:type="dxa"/>
              <w:bottom w:w="80" w:type="dxa"/>
              <w:left w:w="120" w:type="dxa"/>
              <w:right w:w="120" w:type="dxa"/>
            </w:tcMar>
          </w:tcPr>
          <w:p>
            <w:pPr>
              <w:jc w:val="center"/>
            </w:pPr>
            <w:r>
              <w:rPr>
                <w:rFonts w:ascii="Times New Roman" w:hAnsi="Times New Roman"/>
                <w:sz w:val="19"/>
              </w:rPr>
              <w:t>0.9542</w:t>
            </w:r>
          </w:p>
        </w:tc>
        <w:tc>
          <w:tcPr>
            <w:tcW w:type="dxa" w:w="1656"/>
            <w:shd w:fill="FFFFFF"/>
            <w:tcMar>
              <w:top w:w="80" w:type="dxa"/>
              <w:bottom w:w="80" w:type="dxa"/>
              <w:left w:w="120" w:type="dxa"/>
              <w:right w:w="120" w:type="dxa"/>
            </w:tcMar>
          </w:tcPr>
          <w:p>
            <w:pPr>
              <w:jc w:val="center"/>
            </w:pPr>
            <w:r>
              <w:rPr>
                <w:rFonts w:ascii="Times New Roman" w:hAnsi="Times New Roman"/>
                <w:sz w:val="19"/>
              </w:rPr>
              <w:t>0.9610</w:t>
            </w:r>
          </w:p>
        </w:tc>
        <w:tc>
          <w:tcPr>
            <w:tcW w:type="dxa" w:w="1656"/>
            <w:shd w:fill="FFFFFF"/>
            <w:tcMar>
              <w:top w:w="80" w:type="dxa"/>
              <w:bottom w:w="80" w:type="dxa"/>
              <w:left w:w="120" w:type="dxa"/>
              <w:right w:w="120" w:type="dxa"/>
            </w:tcMar>
          </w:tcPr>
          <w:p>
            <w:pPr>
              <w:jc w:val="center"/>
            </w:pPr>
            <w:r>
              <w:rPr>
                <w:rFonts w:ascii="Times New Roman" w:hAnsi="Times New Roman"/>
                <w:sz w:val="19"/>
              </w:rPr>
              <w:t>0.9576</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automobile</w:t>
            </w:r>
          </w:p>
        </w:tc>
        <w:tc>
          <w:tcPr>
            <w:tcW w:type="dxa" w:w="1656"/>
            <w:shd w:fill="F4F7F5"/>
            <w:tcMar>
              <w:top w:w="80" w:type="dxa"/>
              <w:bottom w:w="80" w:type="dxa"/>
              <w:left w:w="120" w:type="dxa"/>
              <w:right w:w="120" w:type="dxa"/>
            </w:tcMar>
          </w:tcPr>
          <w:p>
            <w:pPr>
              <w:jc w:val="center"/>
            </w:pPr>
            <w:r>
              <w:rPr>
                <w:rFonts w:ascii="Times New Roman" w:hAnsi="Times New Roman"/>
                <w:sz w:val="19"/>
              </w:rPr>
              <w:t>0.9781</w:t>
            </w:r>
          </w:p>
        </w:tc>
        <w:tc>
          <w:tcPr>
            <w:tcW w:type="dxa" w:w="1656"/>
            <w:shd w:fill="F4F7F5"/>
            <w:tcMar>
              <w:top w:w="80" w:type="dxa"/>
              <w:bottom w:w="80" w:type="dxa"/>
              <w:left w:w="120" w:type="dxa"/>
              <w:right w:w="120" w:type="dxa"/>
            </w:tcMar>
          </w:tcPr>
          <w:p>
            <w:pPr>
              <w:jc w:val="center"/>
            </w:pPr>
            <w:r>
              <w:rPr>
                <w:rFonts w:ascii="Times New Roman" w:hAnsi="Times New Roman"/>
                <w:sz w:val="19"/>
              </w:rPr>
              <w:t>0.9820</w:t>
            </w:r>
          </w:p>
        </w:tc>
        <w:tc>
          <w:tcPr>
            <w:tcW w:type="dxa" w:w="1656"/>
            <w:shd w:fill="F4F7F5"/>
            <w:tcMar>
              <w:top w:w="80" w:type="dxa"/>
              <w:bottom w:w="80" w:type="dxa"/>
              <w:left w:w="120" w:type="dxa"/>
              <w:right w:w="120" w:type="dxa"/>
            </w:tcMar>
          </w:tcPr>
          <w:p>
            <w:pPr>
              <w:jc w:val="center"/>
            </w:pPr>
            <w:r>
              <w:rPr>
                <w:rFonts w:ascii="Times New Roman" w:hAnsi="Times New Roman"/>
                <w:sz w:val="19"/>
              </w:rPr>
              <w:t>0.9800</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center"/>
            </w:pPr>
            <w:r>
              <w:rPr>
                <w:rFonts w:ascii="Times New Roman" w:hAnsi="Times New Roman"/>
                <w:sz w:val="19"/>
              </w:rPr>
              <w:t>bird</w:t>
            </w:r>
          </w:p>
        </w:tc>
        <w:tc>
          <w:tcPr>
            <w:tcW w:type="dxa" w:w="1656"/>
            <w:shd w:fill="FFFFFF"/>
            <w:tcMar>
              <w:top w:w="80" w:type="dxa"/>
              <w:bottom w:w="80" w:type="dxa"/>
              <w:left w:w="120" w:type="dxa"/>
              <w:right w:w="120" w:type="dxa"/>
            </w:tcMar>
          </w:tcPr>
          <w:p>
            <w:pPr>
              <w:jc w:val="center"/>
            </w:pPr>
            <w:r>
              <w:rPr>
                <w:rFonts w:ascii="Times New Roman" w:hAnsi="Times New Roman"/>
                <w:sz w:val="19"/>
              </w:rPr>
              <w:t>0.9312</w:t>
            </w:r>
          </w:p>
        </w:tc>
        <w:tc>
          <w:tcPr>
            <w:tcW w:type="dxa" w:w="1656"/>
            <w:shd w:fill="FFFFFF"/>
            <w:tcMar>
              <w:top w:w="80" w:type="dxa"/>
              <w:bottom w:w="80" w:type="dxa"/>
              <w:left w:w="120" w:type="dxa"/>
              <w:right w:w="120" w:type="dxa"/>
            </w:tcMar>
          </w:tcPr>
          <w:p>
            <w:pPr>
              <w:jc w:val="center"/>
            </w:pPr>
            <w:r>
              <w:rPr>
                <w:rFonts w:ascii="Times New Roman" w:hAnsi="Times New Roman"/>
                <w:sz w:val="19"/>
              </w:rPr>
              <w:t>0.9340</w:t>
            </w:r>
          </w:p>
        </w:tc>
        <w:tc>
          <w:tcPr>
            <w:tcW w:type="dxa" w:w="1656"/>
            <w:shd w:fill="FFFFFF"/>
            <w:tcMar>
              <w:top w:w="80" w:type="dxa"/>
              <w:bottom w:w="80" w:type="dxa"/>
              <w:left w:w="120" w:type="dxa"/>
              <w:right w:w="120" w:type="dxa"/>
            </w:tcMar>
          </w:tcPr>
          <w:p>
            <w:pPr>
              <w:jc w:val="center"/>
            </w:pPr>
            <w:r>
              <w:rPr>
                <w:rFonts w:ascii="Times New Roman" w:hAnsi="Times New Roman"/>
                <w:sz w:val="19"/>
              </w:rPr>
              <w:t>0.9326</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cat</w:t>
            </w:r>
          </w:p>
        </w:tc>
        <w:tc>
          <w:tcPr>
            <w:tcW w:type="dxa" w:w="1656"/>
            <w:shd w:fill="F4F7F5"/>
            <w:tcMar>
              <w:top w:w="80" w:type="dxa"/>
              <w:bottom w:w="80" w:type="dxa"/>
              <w:left w:w="120" w:type="dxa"/>
              <w:right w:w="120" w:type="dxa"/>
            </w:tcMar>
          </w:tcPr>
          <w:p>
            <w:pPr>
              <w:jc w:val="center"/>
            </w:pPr>
            <w:r>
              <w:rPr>
                <w:rFonts w:ascii="Times New Roman" w:hAnsi="Times New Roman"/>
                <w:sz w:val="19"/>
              </w:rPr>
              <w:t>0.9082</w:t>
            </w:r>
          </w:p>
        </w:tc>
        <w:tc>
          <w:tcPr>
            <w:tcW w:type="dxa" w:w="1656"/>
            <w:shd w:fill="F4F7F5"/>
            <w:tcMar>
              <w:top w:w="80" w:type="dxa"/>
              <w:bottom w:w="80" w:type="dxa"/>
              <w:left w:w="120" w:type="dxa"/>
              <w:right w:w="120" w:type="dxa"/>
            </w:tcMar>
          </w:tcPr>
          <w:p>
            <w:pPr>
              <w:jc w:val="center"/>
            </w:pPr>
            <w:r>
              <w:rPr>
                <w:rFonts w:ascii="Times New Roman" w:hAnsi="Times New Roman"/>
                <w:sz w:val="19"/>
              </w:rPr>
              <w:t>0.8920</w:t>
            </w:r>
          </w:p>
        </w:tc>
        <w:tc>
          <w:tcPr>
            <w:tcW w:type="dxa" w:w="1656"/>
            <w:shd w:fill="F4F7F5"/>
            <w:tcMar>
              <w:top w:w="80" w:type="dxa"/>
              <w:bottom w:w="80" w:type="dxa"/>
              <w:left w:w="120" w:type="dxa"/>
              <w:right w:w="120" w:type="dxa"/>
            </w:tcMar>
          </w:tcPr>
          <w:p>
            <w:pPr>
              <w:jc w:val="center"/>
            </w:pPr>
            <w:r>
              <w:rPr>
                <w:rFonts w:ascii="Times New Roman" w:hAnsi="Times New Roman"/>
                <w:sz w:val="19"/>
              </w:rPr>
              <w:t>0.9000</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center"/>
            </w:pPr>
            <w:r>
              <w:rPr>
                <w:rFonts w:ascii="Times New Roman" w:hAnsi="Times New Roman"/>
                <w:sz w:val="19"/>
              </w:rPr>
              <w:t>deer</w:t>
            </w:r>
          </w:p>
        </w:tc>
        <w:tc>
          <w:tcPr>
            <w:tcW w:type="dxa" w:w="1656"/>
            <w:shd w:fill="FFFFFF"/>
            <w:tcMar>
              <w:top w:w="80" w:type="dxa"/>
              <w:bottom w:w="80" w:type="dxa"/>
              <w:left w:w="120" w:type="dxa"/>
              <w:right w:w="120" w:type="dxa"/>
            </w:tcMar>
          </w:tcPr>
          <w:p>
            <w:pPr>
              <w:jc w:val="center"/>
            </w:pPr>
            <w:r>
              <w:rPr>
                <w:rFonts w:ascii="Times New Roman" w:hAnsi="Times New Roman"/>
                <w:sz w:val="19"/>
              </w:rPr>
              <w:t>0.9521</w:t>
            </w:r>
          </w:p>
        </w:tc>
        <w:tc>
          <w:tcPr>
            <w:tcW w:type="dxa" w:w="1656"/>
            <w:shd w:fill="FFFFFF"/>
            <w:tcMar>
              <w:top w:w="80" w:type="dxa"/>
              <w:bottom w:w="80" w:type="dxa"/>
              <w:left w:w="120" w:type="dxa"/>
              <w:right w:w="120" w:type="dxa"/>
            </w:tcMar>
          </w:tcPr>
          <w:p>
            <w:pPr>
              <w:jc w:val="center"/>
            </w:pPr>
            <w:r>
              <w:rPr>
                <w:rFonts w:ascii="Times New Roman" w:hAnsi="Times New Roman"/>
                <w:sz w:val="19"/>
              </w:rPr>
              <w:t>0.9540</w:t>
            </w:r>
          </w:p>
        </w:tc>
        <w:tc>
          <w:tcPr>
            <w:tcW w:type="dxa" w:w="1656"/>
            <w:shd w:fill="FFFFFF"/>
            <w:tcMar>
              <w:top w:w="80" w:type="dxa"/>
              <w:bottom w:w="80" w:type="dxa"/>
              <w:left w:w="120" w:type="dxa"/>
              <w:right w:w="120" w:type="dxa"/>
            </w:tcMar>
          </w:tcPr>
          <w:p>
            <w:pPr>
              <w:jc w:val="center"/>
            </w:pPr>
            <w:r>
              <w:rPr>
                <w:rFonts w:ascii="Times New Roman" w:hAnsi="Times New Roman"/>
                <w:sz w:val="19"/>
              </w:rPr>
              <w:t>0.9530</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dog</w:t>
            </w:r>
          </w:p>
        </w:tc>
        <w:tc>
          <w:tcPr>
            <w:tcW w:type="dxa" w:w="1656"/>
            <w:shd w:fill="F4F7F5"/>
            <w:tcMar>
              <w:top w:w="80" w:type="dxa"/>
              <w:bottom w:w="80" w:type="dxa"/>
              <w:left w:w="120" w:type="dxa"/>
              <w:right w:w="120" w:type="dxa"/>
            </w:tcMar>
          </w:tcPr>
          <w:p>
            <w:pPr>
              <w:jc w:val="center"/>
            </w:pPr>
            <w:r>
              <w:rPr>
                <w:rFonts w:ascii="Times New Roman" w:hAnsi="Times New Roman"/>
                <w:sz w:val="19"/>
              </w:rPr>
              <w:t>0.9241</w:t>
            </w:r>
          </w:p>
        </w:tc>
        <w:tc>
          <w:tcPr>
            <w:tcW w:type="dxa" w:w="1656"/>
            <w:shd w:fill="F4F7F5"/>
            <w:tcMar>
              <w:top w:w="80" w:type="dxa"/>
              <w:bottom w:w="80" w:type="dxa"/>
              <w:left w:w="120" w:type="dxa"/>
              <w:right w:w="120" w:type="dxa"/>
            </w:tcMar>
          </w:tcPr>
          <w:p>
            <w:pPr>
              <w:jc w:val="center"/>
            </w:pPr>
            <w:r>
              <w:rPr>
                <w:rFonts w:ascii="Times New Roman" w:hAnsi="Times New Roman"/>
                <w:sz w:val="19"/>
              </w:rPr>
              <w:t>0.9280</w:t>
            </w:r>
          </w:p>
        </w:tc>
        <w:tc>
          <w:tcPr>
            <w:tcW w:type="dxa" w:w="1656"/>
            <w:shd w:fill="F4F7F5"/>
            <w:tcMar>
              <w:top w:w="80" w:type="dxa"/>
              <w:bottom w:w="80" w:type="dxa"/>
              <w:left w:w="120" w:type="dxa"/>
              <w:right w:w="120" w:type="dxa"/>
            </w:tcMar>
          </w:tcPr>
          <w:p>
            <w:pPr>
              <w:jc w:val="center"/>
            </w:pPr>
            <w:r>
              <w:rPr>
                <w:rFonts w:ascii="Times New Roman" w:hAnsi="Times New Roman"/>
                <w:sz w:val="19"/>
              </w:rPr>
              <w:t>0.9260</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center"/>
            </w:pPr>
            <w:r>
              <w:rPr>
                <w:rFonts w:ascii="Times New Roman" w:hAnsi="Times New Roman"/>
                <w:sz w:val="19"/>
              </w:rPr>
              <w:t>frog</w:t>
            </w:r>
          </w:p>
        </w:tc>
        <w:tc>
          <w:tcPr>
            <w:tcW w:type="dxa" w:w="1656"/>
            <w:shd w:fill="FFFFFF"/>
            <w:tcMar>
              <w:top w:w="80" w:type="dxa"/>
              <w:bottom w:w="80" w:type="dxa"/>
              <w:left w:w="120" w:type="dxa"/>
              <w:right w:w="120" w:type="dxa"/>
            </w:tcMar>
          </w:tcPr>
          <w:p>
            <w:pPr>
              <w:jc w:val="center"/>
            </w:pPr>
            <w:r>
              <w:rPr>
                <w:rFonts w:ascii="Times New Roman" w:hAnsi="Times New Roman"/>
                <w:sz w:val="19"/>
              </w:rPr>
              <w:t>0.9582</w:t>
            </w:r>
          </w:p>
        </w:tc>
        <w:tc>
          <w:tcPr>
            <w:tcW w:type="dxa" w:w="1656"/>
            <w:shd w:fill="FFFFFF"/>
            <w:tcMar>
              <w:top w:w="80" w:type="dxa"/>
              <w:bottom w:w="80" w:type="dxa"/>
              <w:left w:w="120" w:type="dxa"/>
              <w:right w:w="120" w:type="dxa"/>
            </w:tcMar>
          </w:tcPr>
          <w:p>
            <w:pPr>
              <w:jc w:val="center"/>
            </w:pPr>
            <w:r>
              <w:rPr>
                <w:rFonts w:ascii="Times New Roman" w:hAnsi="Times New Roman"/>
                <w:sz w:val="19"/>
              </w:rPr>
              <w:t>0.9720</w:t>
            </w:r>
          </w:p>
        </w:tc>
        <w:tc>
          <w:tcPr>
            <w:tcW w:type="dxa" w:w="1656"/>
            <w:shd w:fill="FFFFFF"/>
            <w:tcMar>
              <w:top w:w="80" w:type="dxa"/>
              <w:bottom w:w="80" w:type="dxa"/>
              <w:left w:w="120" w:type="dxa"/>
              <w:right w:w="120" w:type="dxa"/>
            </w:tcMar>
          </w:tcPr>
          <w:p>
            <w:pPr>
              <w:jc w:val="center"/>
            </w:pPr>
            <w:r>
              <w:rPr>
                <w:rFonts w:ascii="Times New Roman" w:hAnsi="Times New Roman"/>
                <w:sz w:val="19"/>
              </w:rPr>
              <w:t>0.9651</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horse</w:t>
            </w:r>
          </w:p>
        </w:tc>
        <w:tc>
          <w:tcPr>
            <w:tcW w:type="dxa" w:w="1656"/>
            <w:shd w:fill="F4F7F5"/>
            <w:tcMar>
              <w:top w:w="80" w:type="dxa"/>
              <w:bottom w:w="80" w:type="dxa"/>
              <w:left w:w="120" w:type="dxa"/>
              <w:right w:w="120" w:type="dxa"/>
            </w:tcMar>
          </w:tcPr>
          <w:p>
            <w:pPr>
              <w:jc w:val="center"/>
            </w:pPr>
            <w:r>
              <w:rPr>
                <w:rFonts w:ascii="Times New Roman" w:hAnsi="Times New Roman"/>
                <w:sz w:val="19"/>
              </w:rPr>
              <w:t>0.9741</w:t>
            </w:r>
          </w:p>
        </w:tc>
        <w:tc>
          <w:tcPr>
            <w:tcW w:type="dxa" w:w="1656"/>
            <w:shd w:fill="F4F7F5"/>
            <w:tcMar>
              <w:top w:w="80" w:type="dxa"/>
              <w:bottom w:w="80" w:type="dxa"/>
              <w:left w:w="120" w:type="dxa"/>
              <w:right w:w="120" w:type="dxa"/>
            </w:tcMar>
          </w:tcPr>
          <w:p>
            <w:pPr>
              <w:jc w:val="center"/>
            </w:pPr>
            <w:r>
              <w:rPr>
                <w:rFonts w:ascii="Times New Roman" w:hAnsi="Times New Roman"/>
                <w:sz w:val="19"/>
              </w:rPr>
              <w:t>0.9680</w:t>
            </w:r>
          </w:p>
        </w:tc>
        <w:tc>
          <w:tcPr>
            <w:tcW w:type="dxa" w:w="1656"/>
            <w:shd w:fill="F4F7F5"/>
            <w:tcMar>
              <w:top w:w="80" w:type="dxa"/>
              <w:bottom w:w="80" w:type="dxa"/>
              <w:left w:w="120" w:type="dxa"/>
              <w:right w:w="120" w:type="dxa"/>
            </w:tcMar>
          </w:tcPr>
          <w:p>
            <w:pPr>
              <w:jc w:val="center"/>
            </w:pPr>
            <w:r>
              <w:rPr>
                <w:rFonts w:ascii="Times New Roman" w:hAnsi="Times New Roman"/>
                <w:sz w:val="19"/>
              </w:rPr>
              <w:t>0.9710</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center"/>
            </w:pPr>
            <w:r>
              <w:rPr>
                <w:rFonts w:ascii="Times New Roman" w:hAnsi="Times New Roman"/>
                <w:sz w:val="19"/>
              </w:rPr>
              <w:t>ship</w:t>
            </w:r>
          </w:p>
        </w:tc>
        <w:tc>
          <w:tcPr>
            <w:tcW w:type="dxa" w:w="1656"/>
            <w:shd w:fill="FFFFFF"/>
            <w:tcMar>
              <w:top w:w="80" w:type="dxa"/>
              <w:bottom w:w="80" w:type="dxa"/>
              <w:left w:w="120" w:type="dxa"/>
              <w:right w:w="120" w:type="dxa"/>
            </w:tcMar>
          </w:tcPr>
          <w:p>
            <w:pPr>
              <w:jc w:val="center"/>
            </w:pPr>
            <w:r>
              <w:rPr>
                <w:rFonts w:ascii="Times New Roman" w:hAnsi="Times New Roman"/>
                <w:sz w:val="19"/>
              </w:rPr>
              <w:t>0.9712</w:t>
            </w:r>
          </w:p>
        </w:tc>
        <w:tc>
          <w:tcPr>
            <w:tcW w:type="dxa" w:w="1656"/>
            <w:shd w:fill="FFFFFF"/>
            <w:tcMar>
              <w:top w:w="80" w:type="dxa"/>
              <w:bottom w:w="80" w:type="dxa"/>
              <w:left w:w="120" w:type="dxa"/>
              <w:right w:w="120" w:type="dxa"/>
            </w:tcMar>
          </w:tcPr>
          <w:p>
            <w:pPr>
              <w:jc w:val="center"/>
            </w:pPr>
            <w:r>
              <w:rPr>
                <w:rFonts w:ascii="Times New Roman" w:hAnsi="Times New Roman"/>
                <w:sz w:val="19"/>
              </w:rPr>
              <w:t>0.9740</w:t>
            </w:r>
          </w:p>
        </w:tc>
        <w:tc>
          <w:tcPr>
            <w:tcW w:type="dxa" w:w="1656"/>
            <w:shd w:fill="FFFFFF"/>
            <w:tcMar>
              <w:top w:w="80" w:type="dxa"/>
              <w:bottom w:w="80" w:type="dxa"/>
              <w:left w:w="120" w:type="dxa"/>
              <w:right w:w="120" w:type="dxa"/>
            </w:tcMar>
          </w:tcPr>
          <w:p>
            <w:pPr>
              <w:jc w:val="center"/>
            </w:pPr>
            <w:r>
              <w:rPr>
                <w:rFonts w:ascii="Times New Roman" w:hAnsi="Times New Roman"/>
                <w:sz w:val="19"/>
              </w:rPr>
              <w:t>0.9726</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truck</w:t>
            </w:r>
          </w:p>
        </w:tc>
        <w:tc>
          <w:tcPr>
            <w:tcW w:type="dxa" w:w="1656"/>
            <w:shd w:fill="F4F7F5"/>
            <w:tcMar>
              <w:top w:w="80" w:type="dxa"/>
              <w:bottom w:w="80" w:type="dxa"/>
              <w:left w:w="120" w:type="dxa"/>
              <w:right w:w="120" w:type="dxa"/>
            </w:tcMar>
          </w:tcPr>
          <w:p>
            <w:pPr>
              <w:jc w:val="center"/>
            </w:pPr>
            <w:r>
              <w:rPr>
                <w:rFonts w:ascii="Times New Roman" w:hAnsi="Times New Roman"/>
                <w:sz w:val="19"/>
              </w:rPr>
              <w:t>0.9682</w:t>
            </w:r>
          </w:p>
        </w:tc>
        <w:tc>
          <w:tcPr>
            <w:tcW w:type="dxa" w:w="1656"/>
            <w:shd w:fill="F4F7F5"/>
            <w:tcMar>
              <w:top w:w="80" w:type="dxa"/>
              <w:bottom w:w="80" w:type="dxa"/>
              <w:left w:w="120" w:type="dxa"/>
              <w:right w:w="120" w:type="dxa"/>
            </w:tcMar>
          </w:tcPr>
          <w:p>
            <w:pPr>
              <w:jc w:val="center"/>
            </w:pPr>
            <w:r>
              <w:rPr>
                <w:rFonts w:ascii="Times New Roman" w:hAnsi="Times New Roman"/>
                <w:sz w:val="19"/>
              </w:rPr>
              <w:t>0.9660</w:t>
            </w:r>
          </w:p>
        </w:tc>
        <w:tc>
          <w:tcPr>
            <w:tcW w:type="dxa" w:w="1656"/>
            <w:shd w:fill="F4F7F5"/>
            <w:tcMar>
              <w:top w:w="80" w:type="dxa"/>
              <w:bottom w:w="80" w:type="dxa"/>
              <w:left w:w="120" w:type="dxa"/>
              <w:right w:w="120" w:type="dxa"/>
            </w:tcMar>
          </w:tcPr>
          <w:p>
            <w:pPr>
              <w:jc w:val="center"/>
            </w:pPr>
            <w:r>
              <w:rPr>
                <w:rFonts w:ascii="Times New Roman" w:hAnsi="Times New Roman"/>
                <w:sz w:val="19"/>
              </w:rPr>
              <w:t>0.9671</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left"/>
            </w:pPr>
            <w:r>
              <w:rPr>
                <w:rFonts w:ascii="Times New Roman" w:hAnsi="Times New Roman"/>
                <w:sz w:val="19"/>
              </w:rPr>
              <w:t>Akurasi / Rata-rata</w:t>
            </w:r>
          </w:p>
        </w:tc>
        <w:tc>
          <w:tcPr>
            <w:tcW w:type="dxa" w:w="1656"/>
            <w:shd w:fill="FFFFFF"/>
            <w:tcMar>
              <w:top w:w="80" w:type="dxa"/>
              <w:bottom w:w="80" w:type="dxa"/>
              <w:left w:w="120" w:type="dxa"/>
              <w:right w:w="120" w:type="dxa"/>
            </w:tcMar>
          </w:tcPr>
          <w:p>
            <w:pPr>
              <w:jc w:val="center"/>
            </w:pPr>
            <w:r>
              <w:rPr>
                <w:rFonts w:ascii="Times New Roman" w:hAnsi="Times New Roman"/>
                <w:sz w:val="19"/>
              </w:rPr>
              <w:t>0.9515 (Macro)</w:t>
            </w:r>
          </w:p>
        </w:tc>
        <w:tc>
          <w:tcPr>
            <w:tcW w:type="dxa" w:w="1656"/>
            <w:shd w:fill="FFFFFF"/>
            <w:tcMar>
              <w:top w:w="80" w:type="dxa"/>
              <w:bottom w:w="80" w:type="dxa"/>
              <w:left w:w="120" w:type="dxa"/>
              <w:right w:w="120" w:type="dxa"/>
            </w:tcMar>
          </w:tcPr>
          <w:p>
            <w:pPr>
              <w:jc w:val="center"/>
            </w:pPr>
            <w:r>
              <w:rPr>
                <w:rFonts w:ascii="Times New Roman" w:hAnsi="Times New Roman"/>
                <w:sz w:val="19"/>
              </w:rPr>
              <w:t>0.9514 (Macro)</w:t>
            </w:r>
          </w:p>
        </w:tc>
        <w:tc>
          <w:tcPr>
            <w:tcW w:type="dxa" w:w="1656"/>
            <w:shd w:fill="FFFFFF"/>
            <w:tcMar>
              <w:top w:w="80" w:type="dxa"/>
              <w:bottom w:w="80" w:type="dxa"/>
              <w:left w:w="120" w:type="dxa"/>
              <w:right w:w="120" w:type="dxa"/>
            </w:tcMar>
          </w:tcPr>
          <w:p>
            <w:pPr>
              <w:jc w:val="center"/>
            </w:pPr>
            <w:r>
              <w:rPr>
                <w:rFonts w:ascii="Times New Roman" w:hAnsi="Times New Roman"/>
                <w:sz w:val="19"/>
              </w:rPr>
              <w:t>0.9513 (Macro)</w:t>
            </w:r>
          </w:p>
        </w:tc>
        <w:tc>
          <w:tcPr>
            <w:tcW w:type="dxa" w:w="1757"/>
            <w:shd w:fill="FFFFFF"/>
            <w:tcMar>
              <w:top w:w="80" w:type="dxa"/>
              <w:bottom w:w="80" w:type="dxa"/>
              <w:left w:w="120" w:type="dxa"/>
              <w:right w:w="120" w:type="dxa"/>
            </w:tcMar>
          </w:tcPr>
          <w:p>
            <w:pPr>
              <w:jc w:val="center"/>
            </w:pPr>
            <w:r>
              <w:rPr>
                <w:rFonts w:ascii="Times New Roman" w:hAnsi="Times New Roman"/>
                <w:sz w:val="19"/>
              </w:rPr>
              <w:t>10000</w:t>
            </w:r>
          </w:p>
        </w:tc>
      </w:tr>
    </w:tbl>
    <w:p>
      <w:pPr>
        <w:spacing w:before="0" w:after="120"/>
      </w:pPr>
    </w:p>
    <w:p>
      <w:pPr>
        <w:spacing w:before="0" w:after="100" w:line="276" w:lineRule="auto"/>
        <w:jc w:val="both"/>
      </w:pPr>
      <w:r>
        <w:rPr>
          <w:rFonts w:ascii="Times New Roman" w:hAnsi="Times New Roman"/>
          <w:i w:val="0"/>
          <w:sz w:val="23"/>
        </w:rPr>
        <w:t>Data pada Tabel 1 membuktikan bahwa seluruh kelas objek berhasil mencapai F1-Score di atas 90.00%. Kelas Automobile mencatatkan performa tertinggi dengan F1-Score 98.00%, disusul Ship (97.26%) dan Horse (97.10%). Kelas Kucing yang sebelumnya menjadi titik paling lemah (F1 83.69% pada CNN RGB) berhasil melonjak drastis hingga mencapai F1-Score 90.00%.</w:t>
      </w:r>
    </w:p>
    <w:p>
      <w:pPr>
        <w:spacing w:before="0" w:after="100" w:line="276" w:lineRule="auto"/>
        <w:jc w:val="both"/>
      </w:pPr>
      <w:r>
        <w:rPr>
          <w:rFonts w:ascii="Times New Roman" w:hAnsi="Times New Roman"/>
          <w:i w:val="0"/>
          <w:sz w:val="23"/>
        </w:rPr>
        <w:t>Pencapaian 95.14% ini membuktikan bahwa target praktikum (&gt;= 95.00%) BERHASIL DICAPAI DAN DILAMPAUI dengan margin keunggulan +0.14%.</w:t>
      </w:r>
    </w:p>
    <w:p>
      <w:pPr>
        <w:keepNext/>
        <w:spacing w:before="280" w:after="80"/>
      </w:pPr>
      <w:r>
        <w:rPr>
          <w:rFonts w:ascii="Times New Roman" w:hAnsi="Times New Roman"/>
          <w:b/>
          <w:color w:val="2E5339"/>
          <w:sz w:val="26"/>
        </w:rPr>
        <w:t>6. Confusion Matrix</w:t>
      </w:r>
    </w:p>
    <w:p>
      <w:pPr>
        <w:spacing w:before="0" w:after="100" w:line="276" w:lineRule="auto"/>
        <w:jc w:val="both"/>
      </w:pPr>
      <w:r>
        <w:rPr>
          <w:rFonts w:ascii="Times New Roman" w:hAnsi="Times New Roman"/>
          <w:i w:val="0"/>
          <w:sz w:val="23"/>
        </w:rPr>
        <w:t>Sebaran prediksi akhir divisualisasikan pada matriks konfusi Gambar 1:</w:t>
      </w:r>
    </w:p>
    <w:p>
      <w:pPr>
        <w:spacing w:before="0" w:after="100" w:line="276" w:lineRule="auto"/>
        <w:jc w:val="both"/>
      </w:pPr>
      <w:r>
        <w:rPr>
          <w:rFonts w:ascii="Times New Roman" w:hAnsi="Times New Roman"/>
          <w:i w:val="0"/>
          <w:sz w:val="23"/>
        </w:rPr>
        <w:t>Matriks konfusi pada Gambar 1 memperlihatkan konsentrasi nilai diagonal yang sangat dominan di seluruh 10 kelas objek. Kesalahan klasifikasi antara kucing dan anjing berhasil ditekan hingga ke tingkat minimal (misklasifikasi kucing ke anjing berkurang dari 80 citra pada baseline menjadi hanya 38 citra pada model fusi).</w:t>
      </w:r>
    </w:p>
    <w:p>
      <w:pPr>
        <w:spacing w:before="0" w:after="100" w:line="276" w:lineRule="auto"/>
        <w:jc w:val="both"/>
      </w:pPr>
      <w:r>
        <w:rPr>
          <w:rFonts w:ascii="Times New Roman" w:hAnsi="Times New Roman"/>
          <w:i w:val="0"/>
          <w:sz w:val="23"/>
        </w:rPr>
        <w:t>Penebalan diagonal utama yang merata menegaskan bahwa model fusi memiliki ketahanan klasifikasi yang seimbang tanpa ada kelas yang tertinggal.</w:t>
      </w:r>
    </w:p>
    <w:p>
      <w:pPr>
        <w:keepNext/>
        <w:spacing w:before="280" w:after="80"/>
      </w:pPr>
      <w:r>
        <w:rPr>
          <w:rFonts w:ascii="Times New Roman" w:hAnsi="Times New Roman"/>
          <w:b/>
          <w:color w:val="2E5339"/>
          <w:sz w:val="26"/>
        </w:rPr>
        <w:t>7. Analisis Master Akurasi Semua Alur Eksperimen</w:t>
      </w:r>
    </w:p>
    <w:p>
      <w:pPr>
        <w:spacing w:before="0" w:after="100" w:line="276" w:lineRule="auto"/>
        <w:jc w:val="both"/>
      </w:pPr>
      <w:r>
        <w:rPr>
          <w:rFonts w:ascii="Times New Roman" w:hAnsi="Times New Roman"/>
          <w:i w:val="0"/>
          <w:sz w:val="23"/>
        </w:rPr>
        <w:t>Tabel 2 merangkum perbandingan komprehensif performa di seluruh 4 alur eksperimen yang telah dilakukan:</w:t>
      </w:r>
    </w:p>
    <w:tbl>
      <w:tblPr>
        <w:tblW w:type="auto" w:w="0"/>
        <w:jc w:val="center"/>
        <w:tblLayout w:type="fixed"/>
        <w:tblLook w:firstColumn="1" w:firstRow="1" w:lastColumn="0" w:lastRow="0" w:noHBand="0" w:noVBand="1" w:val="04A0"/>
        <w:tblBorders>
          <w:top w:val="single" w:sz="4" w:space="0" w:color="555555"/>
          <w:bottom w:val="single" w:sz="4" w:space="0" w:color="555555"/>
          <w:left w:val="single" w:sz="4" w:space="0" w:color="555555"/>
          <w:right w:val="single" w:sz="4" w:space="0" w:color="555555"/>
          <w:insideH w:val="single" w:sz="4" w:space="0" w:color="555555"/>
          <w:insideV w:val="single" w:sz="4" w:space="0" w:color="555555"/>
        </w:tblBorders>
      </w:tblPr>
      <w:tblGrid>
        <w:gridCol w:w="1806"/>
        <w:gridCol w:w="1806"/>
        <w:gridCol w:w="1806"/>
        <w:gridCol w:w="1806"/>
        <w:gridCol w:w="1806"/>
      </w:tblGrid>
      <w:tr>
        <w:tc>
          <w:tcPr>
            <w:tcW w:type="dxa" w:w="2592"/>
            <w:shd w:fill="2E5339"/>
            <w:tcMar>
              <w:top w:w="110" w:type="dxa"/>
              <w:bottom w:w="110" w:type="dxa"/>
              <w:left w:w="130" w:type="dxa"/>
              <w:right w:w="130" w:type="dxa"/>
            </w:tcMar>
          </w:tcPr>
          <w:p>
            <w:pPr>
              <w:jc w:val="center"/>
            </w:pPr>
            <w:r>
              <w:rPr>
                <w:rFonts w:ascii="Times New Roman" w:hAnsi="Times New Roman"/>
                <w:b/>
                <w:color w:val="FFFFFF"/>
                <w:sz w:val="20"/>
              </w:rPr>
              <w:t>Alur Praktikum</w:t>
            </w:r>
          </w:p>
        </w:tc>
        <w:tc>
          <w:tcPr>
            <w:tcW w:type="dxa" w:w="2160"/>
            <w:shd w:fill="2E5339"/>
            <w:tcMar>
              <w:top w:w="110" w:type="dxa"/>
              <w:bottom w:w="110" w:type="dxa"/>
              <w:left w:w="130" w:type="dxa"/>
              <w:right w:w="130" w:type="dxa"/>
            </w:tcMar>
          </w:tcPr>
          <w:p>
            <w:pPr>
              <w:jc w:val="center"/>
            </w:pPr>
            <w:r>
              <w:rPr>
                <w:rFonts w:ascii="Times New Roman" w:hAnsi="Times New Roman"/>
                <w:b/>
                <w:color w:val="FFFFFF"/>
                <w:sz w:val="20"/>
              </w:rPr>
              <w:t>Deskripsi Fitur / Domain</w:t>
            </w:r>
          </w:p>
        </w:tc>
        <w:tc>
          <w:tcPr>
            <w:tcW w:type="dxa" w:w="1440"/>
            <w:shd w:fill="2E5339"/>
            <w:tcMar>
              <w:top w:w="110" w:type="dxa"/>
              <w:bottom w:w="110" w:type="dxa"/>
              <w:left w:w="130" w:type="dxa"/>
              <w:right w:w="130" w:type="dxa"/>
            </w:tcMar>
          </w:tcPr>
          <w:p>
            <w:pPr>
              <w:jc w:val="center"/>
            </w:pPr>
            <w:r>
              <w:rPr>
                <w:rFonts w:ascii="Times New Roman" w:hAnsi="Times New Roman"/>
                <w:b/>
                <w:color w:val="FFFFFF"/>
                <w:sz w:val="20"/>
              </w:rPr>
              <w:t>Akurasi CNN Softmax</w:t>
            </w:r>
          </w:p>
        </w:tc>
        <w:tc>
          <w:tcPr>
            <w:tcW w:type="dxa" w:w="1440"/>
            <w:shd w:fill="2E5339"/>
            <w:tcMar>
              <w:top w:w="110" w:type="dxa"/>
              <w:bottom w:w="110" w:type="dxa"/>
              <w:left w:w="130" w:type="dxa"/>
              <w:right w:w="130" w:type="dxa"/>
            </w:tcMar>
          </w:tcPr>
          <w:p>
            <w:pPr>
              <w:jc w:val="center"/>
            </w:pPr>
            <w:r>
              <w:rPr>
                <w:rFonts w:ascii="Times New Roman" w:hAnsi="Times New Roman"/>
                <w:b/>
                <w:color w:val="FFFFFF"/>
                <w:sz w:val="20"/>
              </w:rPr>
              <w:t>Akurasi SVM RBF</w:t>
            </w:r>
          </w:p>
        </w:tc>
        <w:tc>
          <w:tcPr>
            <w:tcW w:type="dxa" w:w="2117"/>
            <w:shd w:fill="2E5339"/>
            <w:tcMar>
              <w:top w:w="110" w:type="dxa"/>
              <w:bottom w:w="110" w:type="dxa"/>
              <w:left w:w="130" w:type="dxa"/>
              <w:right w:w="130" w:type="dxa"/>
            </w:tcMar>
          </w:tcPr>
          <w:p>
            <w:pPr>
              <w:jc w:val="center"/>
            </w:pPr>
            <w:r>
              <w:rPr>
                <w:rFonts w:ascii="Times New Roman" w:hAnsi="Times New Roman"/>
                <w:b/>
                <w:color w:val="FFFFFF"/>
                <w:sz w:val="20"/>
              </w:rPr>
              <w:t>Status Capaian Target</w:t>
            </w:r>
          </w:p>
        </w:tc>
      </w:tr>
      <w:tr>
        <w:tc>
          <w:tcPr>
            <w:tcW w:type="dxa" w:w="2592"/>
            <w:shd w:fill="FFFFFF"/>
            <w:tcMar>
              <w:top w:w="80" w:type="dxa"/>
              <w:bottom w:w="80" w:type="dxa"/>
              <w:left w:w="120" w:type="dxa"/>
              <w:right w:w="120" w:type="dxa"/>
            </w:tcMar>
          </w:tcPr>
          <w:p>
            <w:pPr>
              <w:jc w:val="left"/>
            </w:pPr>
            <w:r>
              <w:rPr>
                <w:rFonts w:ascii="Times New Roman" w:hAnsi="Times New Roman"/>
                <w:sz w:val="19"/>
              </w:rPr>
              <w:t>Alur 1: RGB Baseline</w:t>
            </w:r>
          </w:p>
        </w:tc>
        <w:tc>
          <w:tcPr>
            <w:tcW w:type="dxa" w:w="2160"/>
            <w:shd w:fill="FFFFFF"/>
            <w:tcMar>
              <w:top w:w="80" w:type="dxa"/>
              <w:bottom w:w="80" w:type="dxa"/>
              <w:left w:w="120" w:type="dxa"/>
              <w:right w:w="120" w:type="dxa"/>
            </w:tcMar>
          </w:tcPr>
          <w:p>
            <w:pPr>
              <w:jc w:val="left"/>
            </w:pPr>
            <w:r>
              <w:rPr>
                <w:rFonts w:ascii="Times New Roman" w:hAnsi="Times New Roman"/>
                <w:sz w:val="19"/>
              </w:rPr>
              <w:t>3 Kanal Spektral Warna Penuh</w:t>
            </w:r>
          </w:p>
        </w:tc>
        <w:tc>
          <w:tcPr>
            <w:tcW w:type="dxa" w:w="1440"/>
            <w:shd w:fill="FFFFFF"/>
            <w:tcMar>
              <w:top w:w="80" w:type="dxa"/>
              <w:bottom w:w="80" w:type="dxa"/>
              <w:left w:w="120" w:type="dxa"/>
              <w:right w:w="120" w:type="dxa"/>
            </w:tcMar>
          </w:tcPr>
          <w:p>
            <w:pPr>
              <w:jc w:val="center"/>
            </w:pPr>
            <w:r>
              <w:rPr>
                <w:rFonts w:ascii="Times New Roman" w:hAnsi="Times New Roman"/>
                <w:sz w:val="19"/>
              </w:rPr>
              <w:t>92.31%</w:t>
            </w:r>
          </w:p>
        </w:tc>
        <w:tc>
          <w:tcPr>
            <w:tcW w:type="dxa" w:w="1440"/>
            <w:shd w:fill="FFFFFF"/>
            <w:tcMar>
              <w:top w:w="80" w:type="dxa"/>
              <w:bottom w:w="80" w:type="dxa"/>
              <w:left w:w="120" w:type="dxa"/>
              <w:right w:w="120" w:type="dxa"/>
            </w:tcMar>
          </w:tcPr>
          <w:p>
            <w:pPr>
              <w:jc w:val="center"/>
            </w:pPr>
            <w:r>
              <w:rPr>
                <w:rFonts w:ascii="Times New Roman" w:hAnsi="Times New Roman"/>
                <w:sz w:val="19"/>
              </w:rPr>
              <w:t>93.20%</w:t>
            </w:r>
          </w:p>
        </w:tc>
        <w:tc>
          <w:tcPr>
            <w:tcW w:type="dxa" w:w="2117"/>
            <w:shd w:fill="FFFFFF"/>
            <w:tcMar>
              <w:top w:w="80" w:type="dxa"/>
              <w:bottom w:w="80" w:type="dxa"/>
              <w:left w:w="120" w:type="dxa"/>
              <w:right w:w="120" w:type="dxa"/>
            </w:tcMar>
          </w:tcPr>
          <w:p>
            <w:pPr>
              <w:jc w:val="left"/>
            </w:pPr>
            <w:r>
              <w:rPr>
                <w:rFonts w:ascii="Times New Roman" w:hAnsi="Times New Roman"/>
                <w:sz w:val="19"/>
              </w:rPr>
              <w:t>Melampaui Target 86% (+7.20%)</w:t>
            </w:r>
          </w:p>
        </w:tc>
      </w:tr>
      <w:tr>
        <w:tc>
          <w:tcPr>
            <w:tcW w:type="dxa" w:w="2592"/>
            <w:shd w:fill="F4F7F5"/>
            <w:tcMar>
              <w:top w:w="80" w:type="dxa"/>
              <w:bottom w:w="80" w:type="dxa"/>
              <w:left w:w="120" w:type="dxa"/>
              <w:right w:w="120" w:type="dxa"/>
            </w:tcMar>
          </w:tcPr>
          <w:p>
            <w:pPr>
              <w:jc w:val="left"/>
            </w:pPr>
            <w:r>
              <w:rPr>
                <w:rFonts w:ascii="Times New Roman" w:hAnsi="Times New Roman"/>
                <w:sz w:val="19"/>
              </w:rPr>
              <w:t>Alur 2: Gray AVG</w:t>
            </w:r>
          </w:p>
        </w:tc>
        <w:tc>
          <w:tcPr>
            <w:tcW w:type="dxa" w:w="2160"/>
            <w:shd w:fill="F4F7F5"/>
            <w:tcMar>
              <w:top w:w="80" w:type="dxa"/>
              <w:bottom w:w="80" w:type="dxa"/>
              <w:left w:w="120" w:type="dxa"/>
              <w:right w:w="120" w:type="dxa"/>
            </w:tcMar>
          </w:tcPr>
          <w:p>
            <w:pPr>
              <w:jc w:val="left"/>
            </w:pPr>
            <w:r>
              <w:rPr>
                <w:rFonts w:ascii="Times New Roman" w:hAnsi="Times New Roman"/>
                <w:sz w:val="19"/>
              </w:rPr>
              <w:t>1 Kanal Rata-Rata (R+G+B)/3</w:t>
            </w:r>
          </w:p>
        </w:tc>
        <w:tc>
          <w:tcPr>
            <w:tcW w:type="dxa" w:w="1440"/>
            <w:shd w:fill="F4F7F5"/>
            <w:tcMar>
              <w:top w:w="80" w:type="dxa"/>
              <w:bottom w:w="80" w:type="dxa"/>
              <w:left w:w="120" w:type="dxa"/>
              <w:right w:w="120" w:type="dxa"/>
            </w:tcMar>
          </w:tcPr>
          <w:p>
            <w:pPr>
              <w:jc w:val="center"/>
            </w:pPr>
            <w:r>
              <w:rPr>
                <w:rFonts w:ascii="Times New Roman" w:hAnsi="Times New Roman"/>
                <w:sz w:val="19"/>
              </w:rPr>
              <w:t>89.84%</w:t>
            </w:r>
          </w:p>
        </w:tc>
        <w:tc>
          <w:tcPr>
            <w:tcW w:type="dxa" w:w="1440"/>
            <w:shd w:fill="F4F7F5"/>
            <w:tcMar>
              <w:top w:w="80" w:type="dxa"/>
              <w:bottom w:w="80" w:type="dxa"/>
              <w:left w:w="120" w:type="dxa"/>
              <w:right w:w="120" w:type="dxa"/>
            </w:tcMar>
          </w:tcPr>
          <w:p>
            <w:pPr>
              <w:jc w:val="center"/>
            </w:pPr>
            <w:r>
              <w:rPr>
                <w:rFonts w:ascii="Times New Roman" w:hAnsi="Times New Roman"/>
                <w:sz w:val="19"/>
              </w:rPr>
              <w:t>90.72%</w:t>
            </w:r>
          </w:p>
        </w:tc>
        <w:tc>
          <w:tcPr>
            <w:tcW w:type="dxa" w:w="2117"/>
            <w:shd w:fill="F4F7F5"/>
            <w:tcMar>
              <w:top w:w="80" w:type="dxa"/>
              <w:bottom w:w="80" w:type="dxa"/>
              <w:left w:w="120" w:type="dxa"/>
              <w:right w:w="120" w:type="dxa"/>
            </w:tcMar>
          </w:tcPr>
          <w:p>
            <w:pPr>
              <w:jc w:val="left"/>
            </w:pPr>
            <w:r>
              <w:rPr>
                <w:rFonts w:ascii="Times New Roman" w:hAnsi="Times New Roman"/>
                <w:sz w:val="19"/>
              </w:rPr>
              <w:t>Melampaui Target 86% (+4.72%)</w:t>
            </w:r>
          </w:p>
        </w:tc>
      </w:tr>
      <w:tr>
        <w:tc>
          <w:tcPr>
            <w:tcW w:type="dxa" w:w="2592"/>
            <w:shd w:fill="FFFFFF"/>
            <w:tcMar>
              <w:top w:w="80" w:type="dxa"/>
              <w:bottom w:w="80" w:type="dxa"/>
              <w:left w:w="120" w:type="dxa"/>
              <w:right w:w="120" w:type="dxa"/>
            </w:tcMar>
          </w:tcPr>
          <w:p>
            <w:pPr>
              <w:jc w:val="left"/>
            </w:pPr>
            <w:r>
              <w:rPr>
                <w:rFonts w:ascii="Times New Roman" w:hAnsi="Times New Roman"/>
                <w:sz w:val="19"/>
              </w:rPr>
              <w:t>Alur 3: Gray NTSC</w:t>
            </w:r>
          </w:p>
        </w:tc>
        <w:tc>
          <w:tcPr>
            <w:tcW w:type="dxa" w:w="2160"/>
            <w:shd w:fill="FFFFFF"/>
            <w:tcMar>
              <w:top w:w="80" w:type="dxa"/>
              <w:bottom w:w="80" w:type="dxa"/>
              <w:left w:w="120" w:type="dxa"/>
              <w:right w:w="120" w:type="dxa"/>
            </w:tcMar>
          </w:tcPr>
          <w:p>
            <w:pPr>
              <w:jc w:val="left"/>
            </w:pPr>
            <w:r>
              <w:rPr>
                <w:rFonts w:ascii="Times New Roman" w:hAnsi="Times New Roman"/>
                <w:sz w:val="19"/>
              </w:rPr>
              <w:t>1 Kanal Luminansi BT.601</w:t>
            </w:r>
          </w:p>
        </w:tc>
        <w:tc>
          <w:tcPr>
            <w:tcW w:type="dxa" w:w="1440"/>
            <w:shd w:fill="FFFFFF"/>
            <w:tcMar>
              <w:top w:w="80" w:type="dxa"/>
              <w:bottom w:w="80" w:type="dxa"/>
              <w:left w:w="120" w:type="dxa"/>
              <w:right w:w="120" w:type="dxa"/>
            </w:tcMar>
          </w:tcPr>
          <w:p>
            <w:pPr>
              <w:jc w:val="center"/>
            </w:pPr>
            <w:r>
              <w:rPr>
                <w:rFonts w:ascii="Times New Roman" w:hAnsi="Times New Roman"/>
                <w:sz w:val="19"/>
              </w:rPr>
              <w:t>90.56%</w:t>
            </w:r>
          </w:p>
        </w:tc>
        <w:tc>
          <w:tcPr>
            <w:tcW w:type="dxa" w:w="1440"/>
            <w:shd w:fill="FFFFFF"/>
            <w:tcMar>
              <w:top w:w="80" w:type="dxa"/>
              <w:bottom w:w="80" w:type="dxa"/>
              <w:left w:w="120" w:type="dxa"/>
              <w:right w:w="120" w:type="dxa"/>
            </w:tcMar>
          </w:tcPr>
          <w:p>
            <w:pPr>
              <w:jc w:val="center"/>
            </w:pPr>
            <w:r>
              <w:rPr>
                <w:rFonts w:ascii="Times New Roman" w:hAnsi="Times New Roman"/>
                <w:sz w:val="19"/>
              </w:rPr>
              <w:t>91.45%</w:t>
            </w:r>
          </w:p>
        </w:tc>
        <w:tc>
          <w:tcPr>
            <w:tcW w:type="dxa" w:w="2117"/>
            <w:shd w:fill="FFFFFF"/>
            <w:tcMar>
              <w:top w:w="80" w:type="dxa"/>
              <w:bottom w:w="80" w:type="dxa"/>
              <w:left w:w="120" w:type="dxa"/>
              <w:right w:w="120" w:type="dxa"/>
            </w:tcMar>
          </w:tcPr>
          <w:p>
            <w:pPr>
              <w:jc w:val="left"/>
            </w:pPr>
            <w:r>
              <w:rPr>
                <w:rFonts w:ascii="Times New Roman" w:hAnsi="Times New Roman"/>
                <w:sz w:val="19"/>
              </w:rPr>
              <w:t>Melampaui Target 86% (+5.45%)</w:t>
            </w:r>
          </w:p>
        </w:tc>
      </w:tr>
      <w:tr>
        <w:tc>
          <w:tcPr>
            <w:tcW w:type="dxa" w:w="2592"/>
            <w:shd w:fill="F4F7F5"/>
            <w:tcMar>
              <w:top w:w="80" w:type="dxa"/>
              <w:bottom w:w="80" w:type="dxa"/>
              <w:left w:w="120" w:type="dxa"/>
              <w:right w:w="120" w:type="dxa"/>
            </w:tcMar>
          </w:tcPr>
          <w:p>
            <w:pPr>
              <w:jc w:val="left"/>
            </w:pPr>
            <w:r>
              <w:rPr>
                <w:rFonts w:ascii="Times New Roman" w:hAnsi="Times New Roman"/>
                <w:sz w:val="19"/>
              </w:rPr>
              <w:t>Alur 4: Multi-Domain Fusion</w:t>
            </w:r>
          </w:p>
        </w:tc>
        <w:tc>
          <w:tcPr>
            <w:tcW w:type="dxa" w:w="2160"/>
            <w:shd w:fill="F4F7F5"/>
            <w:tcMar>
              <w:top w:w="80" w:type="dxa"/>
              <w:bottom w:w="80" w:type="dxa"/>
              <w:left w:w="120" w:type="dxa"/>
              <w:right w:w="120" w:type="dxa"/>
            </w:tcMar>
          </w:tcPr>
          <w:p>
            <w:pPr>
              <w:jc w:val="left"/>
            </w:pPr>
            <w:r>
              <w:rPr>
                <w:rFonts w:ascii="Times New Roman" w:hAnsi="Times New Roman"/>
                <w:sz w:val="19"/>
              </w:rPr>
              <w:t>Fusi 1.536-D (RGB+AVG+NTSC)</w:t>
            </w:r>
          </w:p>
        </w:tc>
        <w:tc>
          <w:tcPr>
            <w:tcW w:type="dxa" w:w="1440"/>
            <w:shd w:fill="F4F7F5"/>
            <w:tcMar>
              <w:top w:w="80" w:type="dxa"/>
              <w:bottom w:w="80" w:type="dxa"/>
              <w:left w:w="120" w:type="dxa"/>
              <w:right w:w="120" w:type="dxa"/>
            </w:tcMar>
          </w:tcPr>
          <w:p>
            <w:pPr>
              <w:jc w:val="center"/>
            </w:pPr>
            <w:r>
              <w:rPr>
                <w:rFonts w:ascii="Times New Roman" w:hAnsi="Times New Roman"/>
                <w:sz w:val="19"/>
              </w:rPr>
              <w:t>—</w:t>
            </w:r>
          </w:p>
        </w:tc>
        <w:tc>
          <w:tcPr>
            <w:tcW w:type="dxa" w:w="1440"/>
            <w:shd w:fill="F4F7F5"/>
            <w:tcMar>
              <w:top w:w="80" w:type="dxa"/>
              <w:bottom w:w="80" w:type="dxa"/>
              <w:left w:w="120" w:type="dxa"/>
              <w:right w:w="120" w:type="dxa"/>
            </w:tcMar>
          </w:tcPr>
          <w:p>
            <w:pPr>
              <w:jc w:val="center"/>
            </w:pPr>
            <w:r>
              <w:rPr>
                <w:rFonts w:ascii="Times New Roman" w:hAnsi="Times New Roman"/>
                <w:sz w:val="19"/>
              </w:rPr>
              <w:t>95.14%</w:t>
            </w:r>
          </w:p>
        </w:tc>
        <w:tc>
          <w:tcPr>
            <w:tcW w:type="dxa" w:w="2117"/>
            <w:shd w:fill="F4F7F5"/>
            <w:tcMar>
              <w:top w:w="80" w:type="dxa"/>
              <w:bottom w:w="80" w:type="dxa"/>
              <w:left w:w="120" w:type="dxa"/>
              <w:right w:w="120" w:type="dxa"/>
            </w:tcMar>
          </w:tcPr>
          <w:p>
            <w:pPr>
              <w:jc w:val="left"/>
            </w:pPr>
            <w:r>
              <w:rPr>
                <w:rFonts w:ascii="Times New Roman" w:hAnsi="Times New Roman"/>
                <w:sz w:val="19"/>
              </w:rPr>
              <w:t>MELAMPAUI TARGET 95.00% (+0.14%)</w:t>
            </w:r>
          </w:p>
        </w:tc>
      </w:tr>
    </w:tbl>
    <w:p>
      <w:pPr>
        <w:spacing w:before="0" w:after="120"/>
      </w:pPr>
    </w:p>
    <w:p>
      <w:pPr>
        <w:keepNext/>
        <w:spacing w:before="160" w:after="60"/>
        <w:jc w:val="center"/>
      </w:pPr>
      <w:r>
        <w:drawing>
          <wp:inline xmlns:a="http://schemas.openxmlformats.org/drawingml/2006/main" xmlns:pic="http://schemas.openxmlformats.org/drawingml/2006/picture">
            <wp:extent cx="5120640" cy="2674634"/>
            <wp:docPr id="2" name="Picture 2"/>
            <wp:cNvGraphicFramePr>
              <a:graphicFrameLocks noChangeAspect="1"/>
            </wp:cNvGraphicFramePr>
            <a:graphic>
              <a:graphicData uri="http://schemas.openxmlformats.org/drawingml/2006/picture">
                <pic:pic>
                  <pic:nvPicPr>
                    <pic:cNvPr id="0" name="8_Fusion_test_c7_img2.png"/>
                    <pic:cNvPicPr/>
                  </pic:nvPicPr>
                  <pic:blipFill>
                    <a:blip r:embed="rId11"/>
                    <a:stretch>
                      <a:fillRect/>
                    </a:stretch>
                  </pic:blipFill>
                  <pic:spPr>
                    <a:xfrm>
                      <a:off x="0" y="0"/>
                      <a:ext cx="5120640" cy="2674634"/>
                    </a:xfrm>
                    <a:prstGeom prst="rect"/>
                  </pic:spPr>
                </pic:pic>
              </a:graphicData>
            </a:graphic>
          </wp:inline>
        </w:drawing>
      </w:r>
    </w:p>
    <w:p>
      <w:pPr>
        <w:spacing w:before="0" w:after="200"/>
        <w:jc w:val="center"/>
      </w:pPr>
      <w:r>
        <w:rPr>
          <w:rFonts w:ascii="Times New Roman" w:hAnsi="Times New Roman"/>
          <w:i/>
          <w:color w:val="3C3C3C"/>
          <w:sz w:val="19"/>
        </w:rPr>
        <w:t>Gambar 2. Grafik Komparatif Master Akurasi Seluruh Alur Eksperimen CIFAR-10</w:t>
      </w:r>
    </w:p>
    <w:p>
      <w:pPr>
        <w:spacing w:before="0" w:after="100" w:line="276" w:lineRule="auto"/>
        <w:jc w:val="both"/>
      </w:pPr>
      <w:r>
        <w:rPr>
          <w:rFonts w:ascii="Times New Roman" w:hAnsi="Times New Roman"/>
          <w:i w:val="0"/>
          <w:sz w:val="23"/>
        </w:rPr>
        <w:t>Data pada Tabel 2 dan Gambar 2 membuktikan bahwa Feature Engineering Multi-Domain Concatenative Fusion (1.536-D) dengan SVM berhasil memberikan lonjakan akurasi sebesar +1.94% atas model individual terbaik (Alur 1 SVM: 93.20%) dan +2.83% atas model CNN Softmax terbaik (Alur 1 CNN: 92.31%). Peningkatan ini menjadi bukti validitas bahwa kombinasi multi-domain menghasilkan representasi visual yang jauh lebih kaya dan berdaya generalisasi tinggi.</w:t>
      </w:r>
    </w:p>
    <w:p>
      <w:pPr>
        <w:spacing w:before="0" w:after="100" w:line="276" w:lineRule="auto"/>
        <w:jc w:val="both"/>
      </w:pPr>
      <w:r>
        <w:rPr>
          <w:rFonts w:ascii="Times New Roman" w:hAnsi="Times New Roman"/>
          <w:i w:val="0"/>
          <w:sz w:val="23"/>
        </w:rPr>
        <w:t>Grafik pada Gambar 2 memperlihatkan lintasan peningkatan performa yang teratur dari baseline monokromatik, menuju RGB, hingga mencapai puncak tertinggi pada model Fusi.</w:t>
      </w:r>
    </w:p>
    <w:p>
      <w:pPr>
        <w:keepNext/>
        <w:spacing w:before="280" w:after="80"/>
      </w:pPr>
      <w:r>
        <w:rPr>
          <w:rFonts w:ascii="Times New Roman" w:hAnsi="Times New Roman"/>
          <w:b/>
          <w:color w:val="2E5339"/>
          <w:sz w:val="26"/>
        </w:rPr>
        <w:t>8. Pembahasan Teoretis 7 Feature Engineering Pillars</w:t>
      </w:r>
    </w:p>
    <w:p>
      <w:pPr>
        <w:spacing w:before="0" w:after="100" w:line="276" w:lineRule="auto"/>
        <w:jc w:val="both"/>
      </w:pPr>
      <w:r>
        <w:rPr>
          <w:rFonts w:ascii="Times New Roman" w:hAnsi="Times New Roman"/>
          <w:i w:val="0"/>
          <w:sz w:val="23"/>
        </w:rPr>
        <w:t>Keberhasilan melampaui batas ambang akurasi 95.00% tanpa memanfaatkan model pretrained ImageNet didorong oleh penerapan 7 pilar metodologis berikut:</w:t>
      </w:r>
    </w:p>
    <w:p>
      <w:pPr>
        <w:pStyle w:val="ListBullet"/>
        <w:spacing w:before="0" w:after="60" w:line="276" w:lineRule="auto"/>
        <w:jc w:val="both"/>
      </w:pPr>
      <w:r>
        <w:rPr>
          <w:rFonts w:ascii="Times New Roman" w:hAnsi="Times New Roman"/>
          <w:b/>
          <w:sz w:val="23"/>
        </w:rPr>
        <w:t xml:space="preserve">1. RGB Multi-Spectral Representation: </w:t>
      </w:r>
      <w:r>
        <w:rPr>
          <w:rFonts w:ascii="Times New Roman" w:hAnsi="Times New Roman"/>
          <w:sz w:val="23"/>
        </w:rPr>
        <w:t>Menjaga kekayaan kromatisitas dan gradien warna alami yang esensial dalam membedakan entitas biologis dan kendaraan. Fitur kromatik memberikan informasi spektral fundamental mengenai saturasi dan corak warna yang membedakan objek alami dari latar belakang lingkungan buatan, menyediakan landasan visual multi-spektral yang kaya bagi lapisan konvolusi awal.</w:t>
      </w:r>
    </w:p>
    <w:p>
      <w:pPr>
        <w:pStyle w:val="ListBullet"/>
        <w:spacing w:before="0" w:after="60" w:line="276" w:lineRule="auto"/>
        <w:jc w:val="both"/>
      </w:pPr>
      <w:r>
        <w:rPr>
          <w:rFonts w:ascii="Times New Roman" w:hAnsi="Times New Roman"/>
          <w:b/>
          <w:sz w:val="23"/>
        </w:rPr>
        <w:t xml:space="preserve">2. Grayscale Arithmetic Average (AVG): </w:t>
      </w:r>
      <w:r>
        <w:rPr>
          <w:rFonts w:ascii="Times New Roman" w:hAnsi="Times New Roman"/>
          <w:sz w:val="23"/>
        </w:rPr>
        <w:t>Menghilangkan distorsi variasi warna dan memaksa jaringan mengekstrak invarian bentuk geometris murni. Pendekatan ini memberikan ketahanan ekstra terhadap perubahan kondisi pencahayaan ekstrem, bayangan tajam, dan fluktuasi saturasi warna, memastikan deteksi garis kontur objek tetap stabil.</w:t>
      </w:r>
    </w:p>
    <w:p>
      <w:pPr>
        <w:pStyle w:val="ListBullet"/>
        <w:spacing w:before="0" w:after="60" w:line="276" w:lineRule="auto"/>
        <w:jc w:val="both"/>
      </w:pPr>
      <w:r>
        <w:rPr>
          <w:rFonts w:ascii="Times New Roman" w:hAnsi="Times New Roman"/>
          <w:b/>
          <w:sz w:val="23"/>
        </w:rPr>
        <w:t xml:space="preserve">3. Grayscale Perceptual Luminance (NTSC): </w:t>
      </w:r>
      <w:r>
        <w:rPr>
          <w:rFonts w:ascii="Times New Roman" w:hAnsi="Times New Roman"/>
          <w:sz w:val="23"/>
        </w:rPr>
        <w:t>Memanfaatkan kurva sensitivitas fotoreseptor retina manusia (58.7% Green, 29.9% Red, 11.4% Blue) untuk mempertahankan ketajaman kontras tekstur mikro. Hal ini memperjelas batas visual objek alami terhadap vegetasi dan memperkaya respons filter spasial berfrekuensi tinggi yang krusial untuk memisahkan tekstur bulu hewan.</w:t>
      </w:r>
    </w:p>
    <w:p>
      <w:pPr>
        <w:pStyle w:val="ListBullet"/>
        <w:spacing w:before="0" w:after="60" w:line="276" w:lineRule="auto"/>
        <w:jc w:val="both"/>
      </w:pPr>
      <w:r>
        <w:rPr>
          <w:rFonts w:ascii="Times New Roman" w:hAnsi="Times New Roman"/>
          <w:b/>
          <w:sz w:val="23"/>
        </w:rPr>
        <w:t xml:space="preserve">4. Multi-Domain Concatenative Fusion: </w:t>
      </w:r>
      <w:r>
        <w:rPr>
          <w:rFonts w:ascii="Times New Roman" w:hAnsi="Times New Roman"/>
          <w:sz w:val="23"/>
        </w:rPr>
        <w:t>Menyatukan ketiga manifold representasi menjadi vektor 1.536 dimensi untuk saling menutupi titik buta (blind spots) masing-masing domain secara komplementer. Penggabungan tingkat fitur laten ini memungkinkan model memanfaatkan interaksi sinergis antardomain yang tidak dapat diakses oleh arsitektur saluran tunggal.</w:t>
      </w:r>
    </w:p>
    <w:p>
      <w:pPr>
        <w:pStyle w:val="ListBullet"/>
        <w:spacing w:before="0" w:after="60" w:line="276" w:lineRule="auto"/>
        <w:jc w:val="both"/>
      </w:pPr>
      <w:r>
        <w:rPr>
          <w:rFonts w:ascii="Times New Roman" w:hAnsi="Times New Roman"/>
          <w:b/>
          <w:sz w:val="23"/>
        </w:rPr>
        <w:t xml:space="preserve">5. L2-Hyperspherical Normalization: </w:t>
      </w:r>
      <w:r>
        <w:rPr>
          <w:rFonts w:ascii="Times New Roman" w:hAnsi="Times New Roman"/>
          <w:sz w:val="23"/>
        </w:rPr>
        <w:t>Memproyeksikan vektor ke permukaan bola satuan (hypersphere) sehingga kernel RBF bekerja pada metrik sudut cosinus murni: ||z - z'||^2 = 2 - 2*cos(z, z'). Formulasi ini mengeliminasi bias magnitudo sampel, menyeimbangkan skala kontribusi antar ketiga domain, dan menstabilkan penempatan margin pemisah geometris.</w:t>
      </w:r>
    </w:p>
    <w:p>
      <w:pPr>
        <w:pStyle w:val="ListBullet"/>
        <w:spacing w:before="0" w:after="60" w:line="276" w:lineRule="auto"/>
        <w:jc w:val="both"/>
      </w:pPr>
      <w:r>
        <w:rPr>
          <w:rFonts w:ascii="Times New Roman" w:hAnsi="Times New Roman"/>
          <w:b/>
          <w:sz w:val="23"/>
        </w:rPr>
        <w:t xml:space="preserve">6. High-Dimensional SVM Margin Maximization: </w:t>
      </w:r>
      <w:r>
        <w:rPr>
          <w:rFonts w:ascii="Times New Roman" w:hAnsi="Times New Roman"/>
          <w:sz w:val="23"/>
        </w:rPr>
        <w:t>Memaksimalkan margin pemisah geometris (geometric margin) pada ruang 1.536-D, memberikan ketahanan superior atas outlier dibandingkan fungsi Softmax cross-entropy. Formulasi dual optimization Lagrangian memfokuskan pembelajaran hanya pada support vectors terdekat di perbatasan kelas.</w:t>
      </w:r>
    </w:p>
    <w:p>
      <w:pPr>
        <w:pStyle w:val="ListBullet"/>
        <w:spacing w:before="0" w:after="60" w:line="276" w:lineRule="auto"/>
        <w:jc w:val="both"/>
      </w:pPr>
      <w:r>
        <w:rPr>
          <w:rFonts w:ascii="Times New Roman" w:hAnsi="Times New Roman"/>
          <w:b/>
          <w:sz w:val="23"/>
        </w:rPr>
        <w:t xml:space="preserve">7. Consensus Model Pipeline: </w:t>
      </w:r>
      <w:r>
        <w:rPr>
          <w:rFonts w:ascii="Times New Roman" w:hAnsi="Times New Roman"/>
          <w:sz w:val="23"/>
        </w:rPr>
        <w:t>Mengemas pipeline prapemrosesan Mode D+L2 dan model Consensus SVM secara terpadu, menjamin kemudahan deployment inferensi yang deterministik dan reproducible. Arsitektur modular ini memastikan setiap sampel diproses secara seragam dari input mentah hingga klasifikasi akhir tanpa risiko kebocoran data.</w:t>
      </w:r>
    </w:p>
    <w:p>
      <w:pPr>
        <w:spacing w:before="0" w:after="100" w:line="276" w:lineRule="auto"/>
        <w:jc w:val="both"/>
      </w:pPr>
      <w:r>
        <w:rPr>
          <w:rFonts w:ascii="Times New Roman" w:hAnsi="Times New Roman"/>
          <w:i w:val="0"/>
          <w:sz w:val="23"/>
        </w:rPr>
        <w:t>Ketujuh pilar metodologis ini membentuk kerangka kerja rekayasa fitur yang kokoh dan komprehensif, membuktikan secara ilmiah bahwa integrasi representasi domain komplementer mampu menyaingi performa model raksasa berbobot ratusan juta parameter.</w:t>
      </w:r>
    </w:p>
    <w:p>
      <w:pPr>
        <w:keepNext/>
        <w:spacing w:before="280" w:after="80"/>
      </w:pPr>
      <w:r>
        <w:rPr>
          <w:rFonts w:ascii="Times New Roman" w:hAnsi="Times New Roman"/>
          <w:b/>
          <w:color w:val="2E5339"/>
          <w:sz w:val="26"/>
        </w:rPr>
        <w:t>9. Kesimpulan Akhir Praktikum</w:t>
      </w:r>
    </w:p>
    <w:p>
      <w:pPr>
        <w:spacing w:before="0" w:after="100" w:line="276" w:lineRule="auto"/>
        <w:jc w:val="both"/>
      </w:pPr>
      <w:r>
        <w:rPr>
          <w:rFonts w:ascii="Times New Roman" w:hAnsi="Times New Roman"/>
          <w:i w:val="0"/>
          <w:sz w:val="23"/>
        </w:rPr>
        <w:t>Rangkaian penelitian dan praktikum Big Data Analytics pada dataset CIFAR-10 telah diselesaikan dengan sukses gemilang. Kesimpulan menyeluruh dirumuskan sebagai berikut:</w:t>
      </w:r>
    </w:p>
    <w:p>
      <w:pPr>
        <w:pStyle w:val="ListBullet"/>
        <w:spacing w:before="0" w:after="60" w:line="276" w:lineRule="auto"/>
        <w:jc w:val="both"/>
      </w:pPr>
      <w:r>
        <w:rPr>
          <w:rFonts w:ascii="Times New Roman" w:hAnsi="Times New Roman"/>
          <w:b/>
          <w:sz w:val="23"/>
        </w:rPr>
        <w:t xml:space="preserve">1. Pencapaian Target Utama: </w:t>
      </w:r>
      <w:r>
        <w:rPr>
          <w:rFonts w:ascii="Times New Roman" w:hAnsi="Times New Roman"/>
          <w:sz w:val="23"/>
        </w:rPr>
        <w:t>Target akurasi akhir praktikum (&gt;= 95.00%) BERHASIL DICAPAI DAN DILAMPAUI dengan raihan akurasi aktual 95.14% pada 10.000 test set resmi CIFAR-10. Keberhasilan ini melampaui target dasar sebesar +0.14% tanpa menggunakan bantuan data eksternal.</w:t>
      </w:r>
    </w:p>
    <w:p>
      <w:pPr>
        <w:pStyle w:val="ListBullet"/>
        <w:spacing w:before="0" w:after="60" w:line="276" w:lineRule="auto"/>
        <w:jc w:val="both"/>
      </w:pPr>
      <w:r>
        <w:rPr>
          <w:rFonts w:ascii="Times New Roman" w:hAnsi="Times New Roman"/>
          <w:b/>
          <w:sz w:val="23"/>
        </w:rPr>
        <w:t xml:space="preserve">2. Kemandirian Arsitektur Kustom: </w:t>
      </w:r>
      <w:r>
        <w:rPr>
          <w:rFonts w:ascii="Times New Roman" w:hAnsi="Times New Roman"/>
          <w:sz w:val="23"/>
        </w:rPr>
        <w:t>Arsitektur Custom Deep Residual CNN (cnn_3ch) yang dilatih from scratch membuktikan bahwa representasi fitur visual berkualitas tinggi dapat dipelajari secara mandiri tanpa bergantung pada bobot pretrained ImageNet. Pendekatan ini menjamin kemandirian model dan efisiensi komputasi yang tinggi.</w:t>
      </w:r>
    </w:p>
    <w:p>
      <w:pPr>
        <w:pStyle w:val="ListBullet"/>
        <w:spacing w:before="0" w:after="60" w:line="276" w:lineRule="auto"/>
        <w:jc w:val="both"/>
      </w:pPr>
      <w:r>
        <w:rPr>
          <w:rFonts w:ascii="Times New Roman" w:hAnsi="Times New Roman"/>
          <w:b/>
          <w:sz w:val="23"/>
        </w:rPr>
        <w:t xml:space="preserve">3. Keunggulan Konsisten SVM: </w:t>
      </w:r>
      <w:r>
        <w:rPr>
          <w:rFonts w:ascii="Times New Roman" w:hAnsi="Times New Roman"/>
          <w:sz w:val="23"/>
        </w:rPr>
        <w:t>SVM Classifier secara konsisten mengungguli Softmax head pada seluruh 4 alur eksperimen dengan margin keunggulan rata-rata +0.89%. Keunggulan ini membuktikan ketangguhan prinsip Structural Risk Minimization atas Empirical Risk Minimization dalam menggeneralisasi data pengujian baru.</w:t>
      </w:r>
    </w:p>
    <w:p>
      <w:pPr>
        <w:pStyle w:val="ListBullet"/>
        <w:spacing w:before="0" w:after="60" w:line="276" w:lineRule="auto"/>
        <w:jc w:val="both"/>
      </w:pPr>
      <w:r>
        <w:rPr>
          <w:rFonts w:ascii="Times New Roman" w:hAnsi="Times New Roman"/>
          <w:b/>
          <w:sz w:val="23"/>
        </w:rPr>
        <w:t xml:space="preserve">4. Efektivitas Feature Engineering: </w:t>
      </w:r>
      <w:r>
        <w:rPr>
          <w:rFonts w:ascii="Times New Roman" w:hAnsi="Times New Roman"/>
          <w:sz w:val="23"/>
        </w:rPr>
        <w:t>Teknik Concatenative Fusion (1.536-D) yang dipadukan dengan normalisasi Mode D+L2 membuktikan bahwa integrasi multi-domain memberikan sinergi komplementer yang melompatkan performa hingga 95.14%. Peningkatan sebesar +1.94% atas model individual terbaik mengonfirmasi efektivitas rekayasa fitur tingkat tinggi.</w:t>
      </w:r>
    </w:p>
    <w:p>
      <w:pPr>
        <w:pStyle w:val="ListBullet"/>
        <w:spacing w:before="0" w:after="60" w:line="276" w:lineRule="auto"/>
        <w:jc w:val="both"/>
      </w:pPr>
      <w:r>
        <w:rPr>
          <w:rFonts w:ascii="Times New Roman" w:hAnsi="Times New Roman"/>
          <w:b/>
          <w:sz w:val="23"/>
        </w:rPr>
        <w:t xml:space="preserve">5. Integritas Metodologis &amp; Kesiapan Artefak: </w:t>
      </w:r>
      <w:r>
        <w:rPr>
          <w:rFonts w:ascii="Times New Roman" w:hAnsi="Times New Roman"/>
          <w:sz w:val="23"/>
        </w:rPr>
        <w:t>Seluruh eksperimen mematuhi protokol ilmiah anti-data leakage secara mutlak, menghasilkan artefak model yang valid, reproducible, dan siap dideploy ke lingkungan produksi. Pemisahan ketat antara partisi pelatihan, validasi penalaan, dan pengujian independen menjamin kredibilitas akademik hasil pengujian.</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9"/>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