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{{PERAN_PETUGAS}}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{{NAMA_KEGIATAN}}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{{NOMOR_SURAT}}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{{KALIMAT_PEMBUKAAN}}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{{PPK_NAMA}}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{{PPK_JABATAN}} {{UNIT_KERJA}},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{{ALAMAT_UNIT}}, bertindak untuk dan atas nama {{UNIT_KERJA}},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{{PETUGAS_NAMA}}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{{PERAN_PETUGAS}}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{{PETUGAS_ALAMAT}},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{{PERAN_PETUGAS}} {{NAMA_KEGIATAN}} pada {{UNIT_KERJA}}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{{PERAN_PETUGAS}} {{NAMA_KEGIATAN}} pada {{UNIT_KERJA}},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{{PERIODE_MULAI}} sampai dengan tanggal {{PERIODE_SELESAI}}.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{{HONORARIUM_ANGKA}}</w:t>
      </w:r>
      <w:r w:rsidRPr="00802677">
        <w:rPr>
          <w:rFonts w:ascii="Bookman Old Style" w:hAnsi="Bookman Old Style"/>
          <w:sz w:val="24"/>
          <w:szCs w:val="24"/>
        </w:rPr>
        <w:t xml:space="preserve"> ({{HONORARIUM_TERBILANG}})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{{PERIODE_SELESAI}}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{{PETUGAS_NAMA}}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{{PPK_NAMA}}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