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3E427D">
        <w:rPr>
          <w:rFonts w:ascii="Times New Roman" w:hAnsi="Times New Roman" w:cs="Times New Roman"/>
          <w:sz w:val="24"/>
          <w:szCs w:val="24"/>
        </w:rPr>
        <w:t>О</w:t>
      </w:r>
      <w:r w:rsidR="00A61D07">
        <w:rPr>
          <w:rFonts w:ascii="Times New Roman" w:hAnsi="Times New Roman" w:cs="Times New Roman"/>
          <w:sz w:val="24"/>
          <w:szCs w:val="24"/>
        </w:rPr>
        <w:t>рганизация работы с документами</w:t>
      </w:r>
      <w:bookmarkStart w:id="0" w:name="_GoBack"/>
      <w:bookmarkEnd w:id="0"/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E427D" w:rsidRP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на платформе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3E427D"/>
    <w:rsid w:val="004059FD"/>
    <w:rsid w:val="004A0953"/>
    <w:rsid w:val="0052401B"/>
    <w:rsid w:val="007A64CE"/>
    <w:rsid w:val="00974A2E"/>
    <w:rsid w:val="00A61D07"/>
    <w:rsid w:val="00B54216"/>
    <w:rsid w:val="00D860A1"/>
    <w:rsid w:val="00D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2018-09-26T05:33:00Z</dcterms:created>
  <dcterms:modified xsi:type="dcterms:W3CDTF">2018-10-09T12:16:00Z</dcterms:modified>
</cp:coreProperties>
</file>