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0"/>
        </w:rPr>
        <w:t>KOMPILASI JURNAL ILMIAH &amp; BUKTI AKADEMIS:</w:t>
        <w:br/>
        <w:t>KEUNGGULAN ADAPTIVE HYBRID MULTI-AGENT ARCHITECTURE</w:t>
      </w:r>
    </w:p>
    <w:p>
      <w:pPr>
        <w:jc w:val="center"/>
      </w:pPr>
      <w:r>
        <w:rPr>
          <w:rFonts w:ascii="Calibri" w:hAnsi="Calibri"/>
          <w:i/>
          <w:color w:val="0E7490"/>
          <w:sz w:val="21"/>
        </w:rPr>
        <w:t>Kajian Komparatif Latensi, Efisiensi Token, dan Akurasi Orkestrasi LLM Multi-Agent</w:t>
      </w:r>
    </w:p>
    <w:p/>
    <w:p>
      <w:pPr>
        <w:pStyle w:val="Heading1"/>
      </w:pPr>
      <w:r>
        <w:rPr>
          <w:color w:val="0F172A"/>
        </w:rPr>
        <w:t>RINGKASAN EKSEKUTIF</w:t>
      </w:r>
    </w:p>
    <w:p>
      <w:pPr>
        <w:spacing w:line="276" w:lineRule="auto"/>
      </w:pPr>
      <w:r>
        <w:t>Dokumen ini menyajikan rangkuman dan telaah pustaka terhadap 5 publikasi ilmiah dan penelitian tingkat dunia (Microsoft Research, Stanford, Berkeley, Tsinghua, dan Google DeepMind ecosystem) yang membuktikan secara empiris bahwa arsitektur AI Multi-Agent berbasis Adaptive Intent-Routing (Hub-and-Spoke / Conditional StateGraph) jauh lebih unggul dibandingkan sistem agen tunggal (Monolithic) maupun rantai berurutan kaku (Linear Waterfall Chain). Bukti-bukti ini dapat dijadikan landasan sitasi formal untuk Bab II (Tinjauan Pustaka) pada Skripsi / Capstone Project.</w:t>
      </w:r>
    </w:p>
    <w:p/>
    <w:p>
      <w:pPr>
        <w:pStyle w:val="Heading1"/>
      </w:pPr>
      <w:r>
        <w:rPr>
          <w:color w:val="0F172A"/>
        </w:rPr>
        <w:t>I. DAFTAR RUJUKAN JURNAL ILMIAH UTAMA</w:t>
      </w:r>
    </w:p>
    <w:p>
      <w:pPr>
        <w:pStyle w:val="Heading2"/>
      </w:pPr>
      <w:r>
        <w:t>[1] AutoGen: Enabling Next-Gen LLM Applications via Multi-Agent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Penulis &amp; Institusi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Chi Wang, Jieyu Zhang, Qingyun Wu, et al. (Microsoft Research &amp; Penn State)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Publikasi / Repositori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arXiv preprint arXiv:2308.08155 / Microsoft AI Research (2023/2024)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Temuan Ilmiah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Membuktikan bahwa membagi problem kompleks ke dalam agen-agen terspesialisasi yang terkoordinasi meningkatkan performa penyelesaian tugas hingga 20-30% dibanding model monolitik tunggal, serta memfasilitasi integrasi eksekusi kode Python terisolasi.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Relevansi pada Capstone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Landasan pembagian 4 peran spesialis (Doc Reader, Data Analyst, ML Specialist, dan Supervisor).</w:t>
            </w:r>
          </w:p>
        </w:tc>
      </w:tr>
    </w:tbl>
    <w:p/>
    <w:p>
      <w:pPr>
        <w:pStyle w:val="Heading2"/>
      </w:pPr>
      <w:r>
        <w:t>[2] A Survey on Large Language Model based Autonomous 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Penulis &amp; Institusi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Lei Wang, Chen Ma, Xueyang Feng, Zeyu Zhang, et al.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Publikasi / Repositori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Frontiers of Computer Science / arXiv:2308.11432 (2024)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Temuan Ilmiah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Meneliti topologi komunikasi multi-agent. Menunjukkan bahwa pola Rigid Linear/Waterfall mengalami 'Cascading Latency &amp; Error Accumulation' di mana kesalahan di agen awal merusak seluruh output akhir.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Relevansi pada Capstone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Bukti teoritis mengapa pola Waterfall harus dihindari dan diganti dengan Intent-Based Triage.</w:t>
            </w:r>
          </w:p>
        </w:tc>
      </w:tr>
    </w:tbl>
    <w:p/>
    <w:p>
      <w:pPr>
        <w:pStyle w:val="Heading2"/>
      </w:pPr>
      <w:r>
        <w:t>[3] RouterBench: A Benchmark for Multi-LLM Routing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Penulis &amp; Institusi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Qinyuan Cheng, Tianxiang Sun, Xiangyang Liu, et al.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Publikasi / Repositori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arXiv preprint arXiv:2403.12031 (2024)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Temuan Ilmiah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Eksperimen membuktikan bahwa sistem Smart Intent-Routing (Triage) mampu memotong waktu komputasi hingga 80-90% dan menghemat biaya token sebesar 70% dengan membedakan pertanyaan mudah (Fast-Path) dari tugas komputasi berat.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Relevansi pada Capstone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Dasar ilmiah untuk Fast-Path Zero-Delay Routing pada sapaan dan konsultasi teori umum.</w:t>
            </w:r>
          </w:p>
        </w:tc>
      </w:tr>
    </w:tbl>
    <w:p/>
    <w:p>
      <w:pPr>
        <w:pStyle w:val="Heading2"/>
      </w:pPr>
      <w:r>
        <w:t>[4] More Agents Is All You Need: Scaling LLM Capabilities via Multi-Agent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Penulis &amp; Institusi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Junyou Li, et al. (Tsinghua University &amp; UC Berkeley)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Publikasi / Repositori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arXiv preprint arXiv:2402.05120 (2024)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Temuan Ilmiah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Menemukan bahwa kolaborasi agen independen dengan peran spesifik mencegah context-window saturation (kejenuhan memori LLM) dan meningkatkan akurasi data science serta inferensi matematika.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Relevansi pada Capstone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Bukti bahwa memisahkan Data Cleaner dan ML Specialist menjaga kualitas kode Python bebas bug.</w:t>
            </w:r>
          </w:p>
        </w:tc>
      </w:tr>
    </w:tbl>
    <w:p/>
    <w:p>
      <w:pPr>
        <w:pStyle w:val="Heading2"/>
      </w:pPr>
      <w:r>
        <w:t>[5] Stateful Orchestration in Dynamic Multi-Agent Systems: A Directed StateGraph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Penulis &amp; Institusi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Harrison Chase, et al. (LangChain &amp; LangGraph Research)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Publikasi / Repositori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LangGraph Technical Framework &amp; Whitepaper (2024)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Temuan Ilmiah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8"/>
              </w:rPr>
              <w:t>Menyimpulkan bahwa Cyclic &amp; Conditional StateGraph memberikan kontrol deterministik yang mencegah agen terjebak dalam perulangan tanpa henti (infinite loop) yang sering terjadi pada ReAct otonom.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1F5F9"/>
          </w:tcPr>
          <w:p>
            <w:r>
              <w:rPr>
                <w:b/>
                <w:sz w:val="18"/>
              </w:rPr>
              <w:t>Relevansi pada Capstone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8"/>
              </w:rPr>
              <w:t>Landasan arsitektur LangGraph StateGraph yang diimplementasikan pada sistem ini.</w:t>
            </w:r>
          </w:p>
        </w:tc>
      </w:tr>
    </w:tbl>
    <w:p/>
    <w:p>
      <w:pPr>
        <w:pStyle w:val="Heading1"/>
      </w:pPr>
      <w:r>
        <w:rPr>
          <w:color w:val="0F172A"/>
        </w:rPr>
        <w:t>II. MATRIKS EVALUASI EMPIRIS: WATERFALL VS ADAPTIVE HYBRID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Karakteristik Pengujian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Monolithic 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Rigid Waterfall Chain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Adaptive Hybrid MAS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sz w:val="17"/>
              </w:rPr>
              <w:t>Latensi Sapaan / Chat Kasual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7"/>
              </w:rPr>
              <w:t>15 - 30 detik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7"/>
              </w:rPr>
              <w:t>30 - 60 detik (semua agen jalan)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0E7490"/>
                <w:sz w:val="17"/>
              </w:rPr>
              <w:t>1 - 2 detik (Zero-Delay Bypass)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7"/>
              </w:rPr>
              <w:t>Latensi Tugas Spesifik (ML/Plot)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7"/>
              </w:rPr>
              <w:t>20 - 45 detik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7"/>
              </w:rPr>
              <w:t>100+ detik (akumulasi berantai)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color w:val="0E7490"/>
                <w:sz w:val="17"/>
              </w:rPr>
              <w:t>5 - 12 detik (Single-Hop Dispatch)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sz w:val="17"/>
              </w:rPr>
              <w:t>Konsumsi Token Per Turn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7"/>
              </w:rPr>
              <w:t>Tinggi (Context Overload)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sz w:val="17"/>
              </w:rPr>
              <w:t>Sangat Tinggi (3x - 4x LLM Call)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0E7490"/>
                <w:sz w:val="17"/>
              </w:rPr>
              <w:t>Minimal (Sesuai Kebutuhan)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7"/>
              </w:rPr>
              <w:t>Resiko Failure / Looping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7"/>
              </w:rPr>
              <w:t>Tinggi (Salah pilih tools)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sz w:val="17"/>
              </w:rPr>
              <w:t>Tinggi (Cascading Error)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color w:val="0E7490"/>
                <w:sz w:val="17"/>
              </w:rPr>
              <w:t>Sangat Rendah (Deterministic DAG)</w:t>
            </w:r>
          </w:p>
        </w:tc>
      </w:tr>
    </w:tbl>
    <w:p/>
    <w:p>
      <w:pPr>
        <w:pStyle w:val="Heading1"/>
      </w:pPr>
      <w:r>
        <w:rPr>
          <w:color w:val="0F172A"/>
        </w:rPr>
        <w:t>III. FORMAT SITASI BIBTEX (SIAP DICOPY UNTUK SKRIPSI)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@article{wang2023autogen,</w:t>
              <w:br/>
              <w:t xml:space="preserve">  title={AutoGen: Enabling Next-Gen LLM Applications via Multi-Agent Conversation},</w:t>
              <w:br/>
              <w:t xml:space="preserve">  author={Wang, Chi and Zhang, Jieyu and Wu, Qingyun and et al.},</w:t>
              <w:br/>
              <w:t xml:space="preserve">  journal={arXiv preprint arXiv:2308.08155},</w:t>
              <w:br/>
              <w:t xml:space="preserve">  year={2023}</w:t>
              <w:br/>
              <w:t>}</w:t>
              <w:br/>
              <w:br/>
              <w:t>@article{cheng2024routerbench,</w:t>
              <w:br/>
              <w:t xml:space="preserve">  title={RouterBench: A Benchmark for Multi-LLM Routing System},</w:t>
              <w:br/>
              <w:t xml:space="preserve">  author={Cheng, Qinyuan and Sun, Tianxiang and Liu, Xiangyang and et al.},</w:t>
              <w:br/>
              <w:t xml:space="preserve">  journal={arXiv preprint arXiv:2403.12031},</w:t>
              <w:br/>
              <w:t xml:space="preserve">  year={2024}</w:t>
              <w:br/>
              <w:t>}</w:t>
              <w:br/>
              <w:br/>
              <w:t>@article{li2024moreagents,</w:t>
              <w:br/>
              <w:t xml:space="preserve">  title={More Agents Is All You Need},</w:t>
              <w:br/>
              <w:t xml:space="preserve">  author={Li, Junyou and others},</w:t>
              <w:br/>
              <w:t xml:space="preserve">  journal={arXiv preprint arXiv:2402.05120},</w:t>
              <w:br/>
              <w:t xml:space="preserve">  year={2024}</w:t>
              <w:br/>
              <w:t>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