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ind w:hanging="0"/>
        <w:jc w:val="center"/>
        <w:rPr/>
      </w:pPr>
      <w:r>
        <w:rPr>
          <w:b/>
          <w:sz w:val="24"/>
        </w:rPr>
        <w:t>F</w:t>
      </w:r>
      <w:r>
        <w:rPr>
          <w:b/>
          <w:sz w:val="24"/>
        </w:rPr>
        <w:t>RAMEWORKS</w:t>
      </w:r>
      <w:r>
        <w:rPr>
          <w:b/>
          <w:sz w:val="24"/>
        </w:rPr>
        <w:t xml:space="preserve"> – </w:t>
      </w:r>
      <w:r>
        <w:rPr>
          <w:b/>
          <w:sz w:val="24"/>
        </w:rPr>
        <w:t>DEFINIÇÃO</w:t>
      </w:r>
      <w:r>
        <w:rPr>
          <w:b/>
          <w:sz w:val="24"/>
        </w:rPr>
        <w:t xml:space="preserve">, </w:t>
      </w:r>
      <w:r>
        <w:rPr>
          <w:b/>
          <w:sz w:val="24"/>
        </w:rPr>
        <w:t>EXEMPLOS</w:t>
      </w:r>
      <w:r>
        <w:rPr>
          <w:b/>
          <w:sz w:val="24"/>
        </w:rPr>
        <w:t xml:space="preserve">, </w:t>
      </w:r>
      <w:r>
        <w:rPr>
          <w:b/>
          <w:sz w:val="24"/>
        </w:rPr>
        <w:t>CRITÉRIOS DE ESCOLHA</w:t>
      </w:r>
    </w:p>
    <w:p>
      <w:pPr>
        <w:pStyle w:val="Normal"/>
        <w:spacing w:lineRule="auto" w:line="360" w:before="0" w:after="0"/>
        <w:ind w:firstLine="709"/>
        <w:jc w:val="both"/>
        <w:rPr/>
      </w:pPr>
      <w:r>
        <w:rPr>
          <w:sz w:val="24"/>
        </w:rPr>
        <w:t xml:space="preserve">O conceito de </w:t>
      </w:r>
      <w:r>
        <w:rPr>
          <w:b/>
          <w:sz w:val="24"/>
        </w:rPr>
        <w:t>framework</w:t>
      </w:r>
      <w:r>
        <w:rPr>
          <w:sz w:val="24"/>
        </w:rPr>
        <w:t>, embora amplamente utilizado em diversos domínios científicos, frequentemente carece de uma definição universal consensual, variando em sua finalidade e aplicação prática conforme a disciplina de inserção (PARTELOW, 2023). Em termos gerais, um framework pode ser caracterizado como uma estrutura de suporte em torno da qual algo pode ser construído, consistindo em um sistema de regras, ideias, valores ou crenças estabelecido para planejar, orientar ou decidir sobre determinados fenômenos (PARTELOW, 2023). De acordo com a ciência de implementação, os frameworks e os modelos diferem das teorias propriamente ditas (BIRKEN et al., 2018). Enquanto as teorias postulam relações causais específicas, os frameworks funcionam de maneira semelhante a listas de fatores ou conceitos relevantes para variados aspectos de uma investigação ou intervenção prática, fornecendo um vocabulário comum e uma taxonomia inicial que organizam investigações de natureza diagnóstica, descritiva e prescritiva (BIRKEN et al., 2018; PARTELOW, 2023). Na governança e na sustentabilidade, os frameworks estruturam suposições, conceitos e práticas compartilhados (BINDER et al., 2013 citado em PARTELOW, 2023). Assim, eles estabelecem uma base conceitual comum que viabiliza a comunicação científica e a coordenação de esforços empíricos que, de outra forma, seriam dispersos e difíceis de agregar para avançar um paradigma específico (BIRKEN et al., 2018; PARTELOW, 2023).</w:t>
      </w:r>
    </w:p>
    <w:p>
      <w:pPr>
        <w:pStyle w:val="Normal"/>
        <w:spacing w:lineRule="auto" w:line="360" w:before="0" w:after="0"/>
        <w:ind w:firstLine="709"/>
        <w:jc w:val="both"/>
        <w:rPr/>
      </w:pPr>
      <w:r>
        <w:rPr>
          <w:sz w:val="24"/>
        </w:rPr>
        <w:t xml:space="preserve">A operacionalização de um framework ocorre por meio de interações estruturadas entre a teoria científica e a observação empírica, atuando como ferramentas de posicionamento conceitual no campo científico (PARTELOW, 2023). Estruturalmente, a maioria dessas ferramentas consiste em conjuntos de conceitos e de suas relações gerais representados graficamente por diagramas de caixas e setas (PARTELOW, 2023). Para funcionar na prática de forma reprodutível, o framework precisa guiar a transição de conceitos teóricos abstratos para indicadores mensuráveis e métodos específicos de coleta de dados, superando lacunas metodológicas que poderiam gerar dados heterogêneos e de difícil comparação (PARTELOW, 2023). Esse fluxo de desenvolvimento e aplicação pode ser estruturado em quatro processos mediadores: a </w:t>
      </w:r>
      <w:r>
        <w:rPr>
          <w:b/>
          <w:sz w:val="24"/>
        </w:rPr>
        <w:t>generalização empírica</w:t>
      </w:r>
      <w:r>
        <w:rPr>
          <w:sz w:val="24"/>
        </w:rPr>
        <w:t xml:space="preserve">, que constrói o framework de baixo para cima (bottom-up) de forma indutiva ou abdutiva a partir de dados de casos; o </w:t>
      </w:r>
      <w:r>
        <w:rPr>
          <w:b/>
          <w:sz w:val="24"/>
        </w:rPr>
        <w:t>ajuste teórico</w:t>
      </w:r>
      <w:r>
        <w:rPr>
          <w:sz w:val="24"/>
        </w:rPr>
        <w:t xml:space="preserve">, que ocorre de cima para baixo (top-down), utilizando teorias dedutivas para especificar conceitos; a </w:t>
      </w:r>
      <w:r>
        <w:rPr>
          <w:b/>
          <w:sz w:val="24"/>
        </w:rPr>
        <w:t>aplicação prática</w:t>
      </w:r>
      <w:r>
        <w:rPr>
          <w:sz w:val="24"/>
        </w:rPr>
        <w:t xml:space="preserve">, para coletar dados focando em variáveis relevantes; e a </w:t>
      </w:r>
      <w:r>
        <w:rPr>
          <w:b/>
          <w:sz w:val="24"/>
        </w:rPr>
        <w:t>formulação de hipóteses</w:t>
      </w:r>
      <w:r>
        <w:rPr>
          <w:sz w:val="24"/>
        </w:rPr>
        <w:t>, para testar as conexões propostas no campo de pesquisa (PARTELOW, 2023).</w:t>
      </w:r>
    </w:p>
    <w:p>
      <w:pPr>
        <w:pStyle w:val="Normal"/>
        <w:spacing w:lineRule="auto" w:line="360" w:before="0" w:after="0"/>
        <w:ind w:firstLine="709"/>
        <w:jc w:val="both"/>
        <w:rPr/>
      </w:pPr>
      <w:r>
        <w:rPr>
          <w:sz w:val="24"/>
        </w:rPr>
        <w:t xml:space="preserve">A importância dos frameworks reside na sua capacidade de funcionar como 'objetos de fronteira' (boundary objects), integrando o mundo da ciência ao da formulação de políticas públicas e conectando diferentes domínios de conhecimento por meio de uma linguagem comum (PARTELOW, 2023). Eles coordenam revisões sistemáticas, estimulam o debate epistemológico saudável em torno de fenômenos controversos e sinalizam quais pressupostos metodológicos guiam uma determinada pesquisa (PARTELOW, 2023). Contudo, a proliferação desordenada de frameworks sem explicações claras sobre sua relação com as estruturas existentes gera fragmentação conceitual e dificulta o acúmulo de conhecimento científico (BIRKEN et al., 2018; PARTELOW, 2023). Diante disso, a seleção criteriosa de um framework torna-se crucial para evitar escolhas haphazards, superficiais ou baseadas apenas em conveniência (BIRKEN et al., 2018). Para mitigar esse problema, ferramentas como o 'Theory Comparison and Selection Tool' (T-CaST) propõem uma seleção baseada em critérios explícitos distribuídos em quatro domínios principais: </w:t>
      </w:r>
      <w:r>
        <w:rPr>
          <w:b/>
          <w:sz w:val="24"/>
        </w:rPr>
        <w:t>usabilidade, testabilidade, aplicabilidade e aceitabilidade</w:t>
      </w:r>
      <w:r>
        <w:rPr>
          <w:sz w:val="24"/>
        </w:rPr>
        <w:t>, promovendo maior rigor analítico e transparência metodológica na comunicação científica (BIRKEN et al., 2018).</w:t>
      </w:r>
    </w:p>
    <w:p>
      <w:pPr>
        <w:pStyle w:val="Normal"/>
        <w:spacing w:lineRule="auto" w:line="360" w:before="0" w:after="0"/>
        <w:ind w:firstLine="709"/>
        <w:jc w:val="both"/>
        <w:rPr/>
      </w:pPr>
      <w:r>
        <w:rPr>
          <w:sz w:val="24"/>
        </w:rPr>
        <w:t xml:space="preserve">Diversos exemplos empíricos ilustram o funcionamento prático e a diversidade dessas estruturas em múltiplos âmbitos do conhecimento. Nas ciências socioambientais, o 'Social-Ecological Systems Framework' (SESF), proposto por Elinor Ostrom, exemplifica uma abordagem bottom-up baseada em dados de recursos comuns, enquanto o modelo 'Driver-Pressure-State-Impact-Response' (DPSIR), da Agência Europeia do Ambiente, reflete uma perspectiva top-down para categorizar indicadores aplicados à avaliação de políticas públicas (PARTELOW, 2023). No campo da saúde digital, o modelo </w:t>
      </w:r>
      <w:r>
        <w:rPr>
          <w:b/>
          <w:sz w:val="24"/>
        </w:rPr>
        <w:t>MIND</w:t>
      </w:r>
      <w:r>
        <w:rPr>
          <w:sz w:val="24"/>
        </w:rPr>
        <w:t xml:space="preserve"> ('Mhealth Index and Navigation Database'), alinhado ao padrão da Associação Psiquiátrica Americana (APA), emprega uma estrutura objetiva de 105 perguntas para avaliar privacidade, segurança, base clínica, usabilidade e interoperabilidade de aplicativos móveis (LAGAN et al., 2021). Na ciência da implementação em saúde, os frameworks CFIR e TDF são amplamente aplicados para identificar determinantes organizacionais e individuais de novas intervenções (BIRKEN et al., 2018). Por fim, na computação, a literatura de aprendizado federado utiliza avaliações comparativas sistemáticas de frameworks de código aberto como </w:t>
      </w:r>
      <w:r>
        <w:rPr>
          <w:b/>
          <w:sz w:val="24"/>
        </w:rPr>
        <w:t>Flower</w:t>
      </w:r>
      <w:r>
        <w:rPr>
          <w:sz w:val="24"/>
        </w:rPr>
        <w:t xml:space="preserve">, </w:t>
      </w:r>
      <w:r>
        <w:rPr>
          <w:b/>
          <w:sz w:val="24"/>
        </w:rPr>
        <w:t>FLARE</w:t>
      </w:r>
      <w:r>
        <w:rPr>
          <w:sz w:val="24"/>
        </w:rPr>
        <w:t xml:space="preserve"> e </w:t>
      </w:r>
      <w:r>
        <w:rPr>
          <w:b/>
          <w:sz w:val="24"/>
        </w:rPr>
        <w:t>FederatedScope</w:t>
      </w:r>
      <w:r>
        <w:rPr>
          <w:sz w:val="24"/>
        </w:rPr>
        <w:t xml:space="preserve"> para treinar modelos colaborativos preservando a privacidade (RIEDEL et al., 2024), reafirmando que os frameworks são ferramentas fundamentais para estruturar a prática científica contemporânea.</w:t>
      </w:r>
    </w:p>
    <w:p>
      <w:pPr>
        <w:pStyle w:val="Normal"/>
        <w:spacing w:before="720" w:after="360"/>
        <w:ind w:hanging="0"/>
        <w:jc w:val="center"/>
        <w:rPr/>
      </w:pPr>
      <w:r>
        <w:rPr>
          <w:b/>
          <w:sz w:val="24"/>
        </w:rPr>
        <w:t>REFERÊNCIAS</w:t>
      </w:r>
    </w:p>
    <w:p>
      <w:pPr>
        <w:pStyle w:val="Normal"/>
        <w:spacing w:lineRule="auto" w:line="240" w:before="0" w:after="240"/>
        <w:ind w:hanging="0"/>
        <w:jc w:val="start"/>
        <w:rPr/>
      </w:pPr>
      <w:r>
        <w:rPr>
          <w:b/>
          <w:sz w:val="24"/>
        </w:rPr>
        <w:t>BINDER, C. R.</w:t>
      </w:r>
      <w:r>
        <w:rPr>
          <w:sz w:val="24"/>
        </w:rPr>
        <w:t xml:space="preserve">; </w:t>
      </w:r>
      <w:r>
        <w:rPr>
          <w:b/>
          <w:sz w:val="24"/>
        </w:rPr>
        <w:t>HINKEL, J.</w:t>
      </w:r>
      <w:r>
        <w:rPr>
          <w:sz w:val="24"/>
        </w:rPr>
        <w:t xml:space="preserve">; </w:t>
      </w:r>
      <w:r>
        <w:rPr>
          <w:b/>
          <w:sz w:val="24"/>
        </w:rPr>
        <w:t>BOTS, P. W. G.</w:t>
      </w:r>
      <w:r>
        <w:rPr>
          <w:sz w:val="24"/>
        </w:rPr>
        <w:t xml:space="preserve">; </w:t>
      </w:r>
      <w:r>
        <w:rPr>
          <w:b/>
          <w:sz w:val="24"/>
        </w:rPr>
        <w:t>PAHL-WOSTL, C.</w:t>
      </w:r>
      <w:r>
        <w:rPr>
          <w:sz w:val="24"/>
        </w:rPr>
        <w:t xml:space="preserve"> Comparison of Frameworks for analyzing social-ecological systems. </w:t>
      </w:r>
      <w:r>
        <w:rPr>
          <w:b/>
          <w:sz w:val="24"/>
        </w:rPr>
        <w:t>Ecology and Society</w:t>
      </w:r>
      <w:r>
        <w:rPr>
          <w:sz w:val="24"/>
        </w:rPr>
        <w:t>, [</w:t>
      </w:r>
      <w:r>
        <w:rPr>
          <w:i/>
          <w:sz w:val="24"/>
        </w:rPr>
        <w:t>s. l.</w:t>
      </w:r>
      <w:r>
        <w:rPr>
          <w:sz w:val="24"/>
        </w:rPr>
        <w:t>], v. 18, n. 4, art. 26, p. 1-21, 2013. DOI: https://doi.org/10.5751/ES-05551-180426.</w:t>
      </w:r>
    </w:p>
    <w:p>
      <w:pPr>
        <w:pStyle w:val="Normal"/>
        <w:spacing w:lineRule="auto" w:line="240" w:before="0" w:after="240"/>
        <w:ind w:hanging="0"/>
        <w:jc w:val="start"/>
        <w:rPr/>
      </w:pPr>
      <w:r>
        <w:rPr>
          <w:b/>
          <w:sz w:val="24"/>
        </w:rPr>
        <w:t>BIRKEN, S. A.</w:t>
      </w:r>
      <w:r>
        <w:rPr>
          <w:sz w:val="24"/>
        </w:rPr>
        <w:t xml:space="preserve"> et al. T-CaST: an implementation theory comparison and selection tool. </w:t>
      </w:r>
      <w:r>
        <w:rPr>
          <w:b/>
          <w:sz w:val="24"/>
        </w:rPr>
        <w:t>Implementation Science</w:t>
      </w:r>
      <w:r>
        <w:rPr>
          <w:sz w:val="24"/>
        </w:rPr>
        <w:t>, [</w:t>
      </w:r>
      <w:r>
        <w:rPr>
          <w:i/>
          <w:sz w:val="24"/>
        </w:rPr>
        <w:t>s. l.</w:t>
      </w:r>
      <w:r>
        <w:rPr>
          <w:sz w:val="24"/>
        </w:rPr>
        <w:t>], v. 13, art. 143, p. 1-14, 2018. DOI: https://doi.org/10.1186/s13012-018-0836-4.</w:t>
      </w:r>
    </w:p>
    <w:p>
      <w:pPr>
        <w:pStyle w:val="Normal"/>
        <w:spacing w:lineRule="auto" w:line="240" w:before="0" w:after="240"/>
        <w:ind w:hanging="0"/>
        <w:jc w:val="start"/>
        <w:rPr/>
      </w:pPr>
      <w:r>
        <w:rPr>
          <w:b/>
          <w:sz w:val="24"/>
        </w:rPr>
        <w:t>LAGAN, S.</w:t>
      </w:r>
      <w:r>
        <w:rPr>
          <w:sz w:val="24"/>
        </w:rPr>
        <w:t xml:space="preserve">; </w:t>
      </w:r>
      <w:r>
        <w:rPr>
          <w:b/>
          <w:sz w:val="24"/>
        </w:rPr>
        <w:t>SANDLER, L.</w:t>
      </w:r>
      <w:r>
        <w:rPr>
          <w:sz w:val="24"/>
        </w:rPr>
        <w:t xml:space="preserve">; </w:t>
      </w:r>
      <w:r>
        <w:rPr>
          <w:b/>
          <w:sz w:val="24"/>
        </w:rPr>
        <w:t>TOROUS, J.</w:t>
      </w:r>
      <w:r>
        <w:rPr>
          <w:sz w:val="24"/>
        </w:rPr>
        <w:t xml:space="preserve"> Evaluating evaluation frameworks: a scoping review of frameworks for assessing health apps. </w:t>
      </w:r>
      <w:r>
        <w:rPr>
          <w:b/>
          <w:sz w:val="24"/>
        </w:rPr>
        <w:t>BMJ Open</w:t>
      </w:r>
      <w:r>
        <w:rPr>
          <w:sz w:val="24"/>
        </w:rPr>
        <w:t>, [</w:t>
      </w:r>
      <w:r>
        <w:rPr>
          <w:i/>
          <w:sz w:val="24"/>
        </w:rPr>
        <w:t>s. l.</w:t>
      </w:r>
      <w:r>
        <w:rPr>
          <w:sz w:val="24"/>
        </w:rPr>
        <w:t>], v. 11, e047001, p. 1-10, 2021. DOI: https://doi.org/10.1136/bmjopen-2020-047001.</w:t>
      </w:r>
    </w:p>
    <w:p>
      <w:pPr>
        <w:pStyle w:val="Normal"/>
        <w:spacing w:lineRule="auto" w:line="240" w:before="0" w:after="240"/>
        <w:ind w:hanging="0"/>
        <w:jc w:val="start"/>
        <w:rPr/>
      </w:pPr>
      <w:r>
        <w:rPr>
          <w:b/>
          <w:sz w:val="24"/>
        </w:rPr>
        <w:t>OSTROM, E.</w:t>
      </w:r>
      <w:r>
        <w:rPr>
          <w:sz w:val="24"/>
        </w:rPr>
        <w:t xml:space="preserve"> A general framework for analyzing sustainability of social-ecological systems. </w:t>
      </w:r>
      <w:r>
        <w:rPr>
          <w:b/>
          <w:sz w:val="24"/>
        </w:rPr>
        <w:t>Science</w:t>
      </w:r>
      <w:r>
        <w:rPr>
          <w:sz w:val="24"/>
        </w:rPr>
        <w:t>, [</w:t>
      </w:r>
      <w:r>
        <w:rPr>
          <w:i/>
          <w:sz w:val="24"/>
        </w:rPr>
        <w:t>s. l.</w:t>
      </w:r>
      <w:r>
        <w:rPr>
          <w:sz w:val="24"/>
        </w:rPr>
        <w:t>], v. 325, n. 5939, p. 419-422, 2009. DOI: https://doi.org/10.1126/science.1172133.</w:t>
      </w:r>
    </w:p>
    <w:p>
      <w:pPr>
        <w:pStyle w:val="Normal"/>
        <w:spacing w:lineRule="auto" w:line="240" w:before="0" w:after="240"/>
        <w:ind w:hanging="0"/>
        <w:jc w:val="start"/>
        <w:rPr/>
      </w:pPr>
      <w:r>
        <w:rPr>
          <w:b/>
          <w:sz w:val="24"/>
        </w:rPr>
        <w:t>PARTELOW, S.</w:t>
      </w:r>
      <w:r>
        <w:rPr>
          <w:sz w:val="24"/>
        </w:rPr>
        <w:t xml:space="preserve"> What is a framework? Understanding their purpose, value, development and use. </w:t>
      </w:r>
      <w:r>
        <w:rPr>
          <w:b/>
          <w:sz w:val="24"/>
        </w:rPr>
        <w:t>Journal of Environmental Studies and Sciences</w:t>
      </w:r>
      <w:r>
        <w:rPr>
          <w:sz w:val="24"/>
        </w:rPr>
        <w:t>, [</w:t>
      </w:r>
      <w:r>
        <w:rPr>
          <w:i/>
          <w:sz w:val="24"/>
        </w:rPr>
        <w:t>s. l.</w:t>
      </w:r>
      <w:r>
        <w:rPr>
          <w:sz w:val="24"/>
        </w:rPr>
        <w:t>], v. 13, p. 510–519, 2023. DOI: https://doi.org/10.1007/s13412-023-00833-w.</w:t>
      </w:r>
    </w:p>
    <w:p>
      <w:pPr>
        <w:pStyle w:val="Normal"/>
        <w:spacing w:lineRule="auto" w:line="240" w:before="0" w:after="240"/>
        <w:ind w:hanging="0"/>
        <w:jc w:val="start"/>
        <w:rPr/>
      </w:pPr>
      <w:r>
        <w:rPr>
          <w:b/>
          <w:sz w:val="24"/>
        </w:rPr>
        <w:t>RIEDEL, P.</w:t>
      </w:r>
      <w:r>
        <w:rPr>
          <w:sz w:val="24"/>
        </w:rPr>
        <w:t xml:space="preserve"> et al. Comparative analysis of open-source federated learning frameworks - a literature-based survey and review. </w:t>
      </w:r>
      <w:r>
        <w:rPr>
          <w:b/>
          <w:sz w:val="24"/>
        </w:rPr>
        <w:t>International Journal of Machine Learning and Cybernetics</w:t>
      </w:r>
      <w:r>
        <w:rPr>
          <w:sz w:val="24"/>
        </w:rPr>
        <w:t>, [</w:t>
      </w:r>
      <w:r>
        <w:rPr>
          <w:i/>
          <w:sz w:val="24"/>
        </w:rPr>
        <w:t>s. l.</w:t>
      </w:r>
      <w:r>
        <w:rPr>
          <w:sz w:val="24"/>
        </w:rPr>
        <w:t>], v. 15, p. 5257–5278, 2024. DOI: https://doi.org/10.1007/s13042-024-02234-z.</w:t>
      </w:r>
    </w:p>
    <w:sectPr>
      <w:headerReference w:type="even" r:id="rId2"/>
      <w:headerReference w:type="default" r:id="rId3"/>
      <w:headerReference w:type="first" r:id="rId4"/>
      <w:type w:val="nextPage"/>
      <w:pgSz w:w="12240" w:h="15840"/>
      <w:pgMar w:left="1701" w:right="1134" w:gutter="0" w:header="720" w:top="1701"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sz w:val="24"/>
      </w:rPr>
      <w:fldChar w:fldCharType="begin"/>
    </w:r>
    <w:r>
      <w:rPr>
        <w:sz w:val="24"/>
      </w:rPr>
      <w:instrText xml:space="preserve"> PAGE </w:instrText>
    </w:r>
    <w:r>
      <w:rPr>
        <w:sz w:val="24"/>
      </w:rPr>
      <w:fldChar w:fldCharType="separate"/>
    </w:r>
    <w:r>
      <w:rPr>
        <w:sz w:val="24"/>
      </w:rPr>
      <w:t>3</w:t>
    </w:r>
    <w:r>
      <w:rPr>
        <w:sz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LibreOffice/26.2.4.2$Linux_X86_64 LibreOffice_project/620$Build-2</Application>
  <AppVersion>15.0000</AppVersion>
  <Pages>3</Pages>
  <Words>913</Words>
  <Characters>5892</Characters>
  <CharactersWithSpaces>6791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2026-08-16T12:25:02Z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