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0" w:line="264" w:lineRule="auto"/>
      </w:pPr>
    </w:p>
    <w:p>
      <w:pPr>
        <w:spacing w:before="0" w:after="80" w:line="264" w:lineRule="auto"/>
        <w:jc w:val="center"/>
      </w:pPr>
      <w:r>
        <w:rPr>
          <w:rFonts w:ascii="Calibri" w:hAnsi="Calibri"/>
          <w:color w:val="1F4D78"/>
          <w:sz w:val="36"/>
        </w:rPr>
        <w:t>Reporte de práctica</w:t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color w:val="14181F"/>
          <w:sz w:val="54"/>
        </w:rPr>
        <w:t>Práctica 14</w:t>
        <w:br/>
        <w:t>Optimización y Rendimiento</w:t>
      </w:r>
    </w:p>
    <w:p>
      <w:pPr>
        <w:spacing w:before="0" w:after="360" w:line="264" w:lineRule="auto"/>
        <w:jc w:val="center"/>
      </w:pPr>
      <w:r>
        <w:rPr>
          <w:rFonts w:ascii="Calibri" w:hAnsi="Calibri"/>
          <w:i/>
          <w:color w:val="5C6570"/>
          <w:sz w:val="24"/>
        </w:rPr>
        <w:t>Caché, lazy loading, N+1 y code splitting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W w:w="2232" w:type="dxa"/>
            <w:shd w:fill="EEF4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</w:rPr>
              <w:t>Alumno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Alejandro Avalos Espinosa</w:t>
            </w:r>
          </w:p>
        </w:tc>
      </w:tr>
      <w:tr>
        <w:tc>
          <w:tcPr>
            <w:tcW w:type="dxa" w:w="2232"/>
            <w:tcW w:w="2232" w:type="dxa"/>
            <w:shd w:fill="EEF4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</w:rPr>
              <w:t>Asignatura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Desarrollo Web Full-Stack</w:t>
            </w:r>
          </w:p>
        </w:tc>
      </w:tr>
      <w:tr>
        <w:tc>
          <w:tcPr>
            <w:tcW w:type="dxa" w:w="2232"/>
            <w:tcW w:w="2232" w:type="dxa"/>
            <w:shd w:fill="EEF4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</w:rPr>
              <w:t>Tema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Optimización del rendimiento en una SPA con Laravel y Vue</w:t>
            </w:r>
          </w:p>
        </w:tc>
      </w:tr>
      <w:tr>
        <w:tc>
          <w:tcPr>
            <w:tcW w:type="dxa" w:w="2232"/>
            <w:tcW w:w="2232" w:type="dxa"/>
            <w:shd w:fill="EEF4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11 de junio de 2026</w:t>
            </w:r>
          </w:p>
        </w:tc>
      </w:tr>
    </w:tbl>
    <w:p>
      <w:pPr>
        <w:spacing w:before="320" w:after="0" w:line="264" w:lineRule="auto"/>
        <w:jc w:val="center"/>
      </w:pPr>
      <w:r>
        <w:rPr>
          <w:rFonts w:ascii="Calibri" w:hAnsi="Calibri"/>
          <w:i/>
          <w:color w:val="5C6570"/>
          <w:sz w:val="22"/>
        </w:rPr>
        <w:t>Documento de entrega académica</w:t>
      </w:r>
    </w:p>
    <w:p>
      <w:r>
        <w:br w:type="page"/>
      </w:r>
    </w:p>
    <w:p>
      <w:pPr>
        <w:pStyle w:val="Heading1"/>
        <w:spacing w:before="240" w:after="120" w:line="264" w:lineRule="auto"/>
        <w:jc w:val="left"/>
      </w:pPr>
      <w:r>
        <w:rPr>
          <w:rFonts w:ascii="Calibri" w:hAnsi="Calibri"/>
          <w:b/>
        </w:rPr>
        <w:t>1. Objetivo</w:t>
      </w:r>
    </w:p>
    <w:p>
      <w:pPr>
        <w:spacing w:before="0" w:after="120" w:line="264" w:lineRule="auto"/>
        <w:jc w:val="both"/>
      </w:pPr>
      <w:r>
        <w:rPr>
          <w:rFonts w:ascii="Calibri" w:hAnsi="Calibri"/>
          <w:i w:val="0"/>
          <w:color w:val="14181F"/>
        </w:rPr>
        <w:t>Identificar y corregir cuellos de botella comunes en una aplicación con Laravel y Vue, enfocándose en consultas N+1, cacheo de datos de consulta frecuente, reducción del tamaño inicial del frontend mediante lazy loading y medición de resultados con herramientas de análisis.</w:t>
      </w:r>
    </w:p>
    <w:p>
      <w:pPr>
        <w:pStyle w:val="Heading1"/>
        <w:spacing w:before="240" w:after="120" w:line="264" w:lineRule="auto"/>
        <w:jc w:val="left"/>
      </w:pPr>
      <w:r>
        <w:rPr>
          <w:rFonts w:ascii="Calibri" w:hAnsi="Calibri"/>
          <w:b/>
        </w:rPr>
        <w:t>2. Resumen de optimizaciones</w:t>
      </w:r>
    </w:p>
    <w:p>
      <w:pPr>
        <w:spacing w:before="0" w:after="120" w:line="264" w:lineRule="auto"/>
        <w:jc w:val="both"/>
      </w:pPr>
      <w:r>
        <w:rPr>
          <w:rFonts w:ascii="Calibri" w:hAnsi="Calibri"/>
          <w:i w:val="0"/>
          <w:color w:val="14181F"/>
        </w:rPr>
        <w:t>La práctica se trabajó sobre la base del proyecto integrador para concentrar los cambios de rendimiento en una sola experiencia de navegación, con mejoras en servidor, caché y carga diferida del frontend.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W w:w="2664" w:type="dxa"/>
            <w:shd w:fill="F6F8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</w:rPr>
              <w:t>Área</w:t>
            </w:r>
          </w:p>
        </w:tc>
        <w:tc>
          <w:tcPr>
            <w:tcW w:type="dxa" w:w="6696"/>
            <w:tcW w:w="6696" w:type="dxa"/>
            <w:shd w:fill="F6F8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</w:rPr>
              <w:t>Ajuste realizado</w:t>
            </w:r>
          </w:p>
        </w:tc>
      </w:tr>
      <w:tr>
        <w:tc>
          <w:tcPr>
            <w:tcW w:type="dxa" w:w="2664"/>
            <w:tcW w:w="2664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4181F"/>
              </w:rPr>
              <w:t>N+1</w:t>
            </w:r>
          </w:p>
        </w:tc>
        <w:tc>
          <w:tcPr>
            <w:tcW w:type="dxa" w:w="6696"/>
            <w:tcW w:w="6696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Carga anticipada de relaciones con eager loading y relación global en Producto.</w:t>
            </w:r>
          </w:p>
        </w:tc>
      </w:tr>
      <w:tr>
        <w:tc>
          <w:tcPr>
            <w:tcW w:type="dxa" w:w="2664"/>
            <w:tcW w:w="2664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4181F"/>
              </w:rPr>
              <w:t>Caché</w:t>
            </w:r>
          </w:p>
        </w:tc>
        <w:tc>
          <w:tcPr>
            <w:tcW w:type="dxa" w:w="6696"/>
            <w:tcW w:w="6696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Versionado de claves para productos y categorías, con invalidación al crear, editar o eliminar.</w:t>
            </w:r>
          </w:p>
        </w:tc>
      </w:tr>
      <w:tr>
        <w:tc>
          <w:tcPr>
            <w:tcW w:type="dxa" w:w="2664"/>
            <w:tcW w:w="2664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4181F"/>
              </w:rPr>
              <w:t>Índices</w:t>
            </w:r>
          </w:p>
        </w:tc>
        <w:tc>
          <w:tcPr>
            <w:tcW w:type="dxa" w:w="6696"/>
            <w:tcW w:w="6696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Índices en categoria_id, precio y un índice compuesto sobre nombre + precio.</w:t>
            </w:r>
          </w:p>
        </w:tc>
      </w:tr>
      <w:tr>
        <w:tc>
          <w:tcPr>
            <w:tcW w:type="dxa" w:w="2664"/>
            <w:tcW w:w="2664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4181F"/>
              </w:rPr>
              <w:t>Frontend</w:t>
            </w:r>
          </w:p>
        </w:tc>
        <w:tc>
          <w:tcPr>
            <w:tcW w:type="dxa" w:w="6696"/>
            <w:tcW w:w="6696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Rutas y componentes cargados de forma asíncrona para reducir el bundle inicial.</w:t>
            </w:r>
          </w:p>
        </w:tc>
      </w:tr>
      <w:tr>
        <w:tc>
          <w:tcPr>
            <w:tcW w:type="dxa" w:w="2664"/>
            <w:tcW w:w="2664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4181F"/>
              </w:rPr>
              <w:t>Medición</w:t>
            </w:r>
          </w:p>
        </w:tc>
        <w:tc>
          <w:tcPr>
            <w:tcW w:type="dxa" w:w="6696"/>
            <w:tcW w:w="6696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4181F"/>
              </w:rPr>
              <w:t>Bundle visualizado con rollup-plugin-visualizer y verificación de endpoints JSON.</w:t>
            </w:r>
          </w:p>
        </w:tc>
      </w:tr>
    </w:tbl>
    <w:p>
      <w:pPr>
        <w:pStyle w:val="Heading1"/>
        <w:spacing w:before="240" w:after="120" w:line="264" w:lineRule="auto"/>
        <w:jc w:val="left"/>
      </w:pPr>
      <w:r>
        <w:rPr>
          <w:rFonts w:ascii="Calibri" w:hAnsi="Calibri"/>
          <w:b/>
        </w:rPr>
        <w:t>3. Desarrollo realizado</w:t>
      </w:r>
    </w:p>
    <w:p>
      <w:pPr>
        <w:pStyle w:val="ListBullet"/>
        <w:spacing w:before="0" w:after="60" w:line="264" w:lineRule="auto"/>
        <w:jc w:val="left"/>
      </w:pPr>
      <w:r>
        <w:rPr>
          <w:rFonts w:ascii="Calibri" w:hAnsi="Calibri"/>
          <w:color w:val="14181F"/>
        </w:rPr>
        <w:t>Se instaló y configuró Laravel Telescope para revisar solicitudes, consultas y eventos de la aplicación.</w:t>
      </w:r>
    </w:p>
    <w:p>
      <w:pPr>
        <w:pStyle w:val="ListBullet"/>
        <w:spacing w:before="0" w:after="60" w:line="264" w:lineRule="auto"/>
        <w:jc w:val="left"/>
      </w:pPr>
      <w:r>
        <w:rPr>
          <w:rFonts w:ascii="Calibri" w:hAnsi="Calibri"/>
          <w:color w:val="14181F"/>
        </w:rPr>
        <w:t>Se aplicó eager loading en el modelo y en los controladores para evitar cargas repetidas de relaciones.</w:t>
      </w:r>
    </w:p>
    <w:p>
      <w:pPr>
        <w:pStyle w:val="ListBullet"/>
        <w:spacing w:before="0" w:after="60" w:line="264" w:lineRule="auto"/>
        <w:jc w:val="left"/>
      </w:pPr>
      <w:r>
        <w:rPr>
          <w:rFonts w:ascii="Calibri" w:hAnsi="Calibri"/>
          <w:color w:val="14181F"/>
        </w:rPr>
        <w:t>Se implementó una capa de caché con claves versionadas y limpieza automática cuando cambia el catálogo.</w:t>
      </w:r>
    </w:p>
    <w:p>
      <w:pPr>
        <w:pStyle w:val="ListBullet"/>
        <w:spacing w:before="0" w:after="60" w:line="264" w:lineRule="auto"/>
        <w:jc w:val="left"/>
      </w:pPr>
      <w:r>
        <w:rPr>
          <w:rFonts w:ascii="Calibri" w:hAnsi="Calibri"/>
          <w:color w:val="14181F"/>
        </w:rPr>
        <w:t>Se añadieron índices de base de datos para mejorar filtros y búsquedas frecuentes sobre productos.</w:t>
      </w:r>
    </w:p>
    <w:p>
      <w:pPr>
        <w:pStyle w:val="ListBullet"/>
        <w:spacing w:before="0" w:after="60" w:line="264" w:lineRule="auto"/>
        <w:jc w:val="left"/>
      </w:pPr>
      <w:r>
        <w:rPr>
          <w:rFonts w:ascii="Calibri" w:hAnsi="Calibri"/>
          <w:color w:val="14181F"/>
        </w:rPr>
        <w:t>Se migraron rutas y componentes de Vue a carga asíncrona para reducir el bundle inicial.</w:t>
      </w:r>
    </w:p>
    <w:p>
      <w:pPr>
        <w:pStyle w:val="ListBullet"/>
        <w:spacing w:before="0" w:after="60" w:line="264" w:lineRule="auto"/>
        <w:jc w:val="left"/>
      </w:pPr>
      <w:r>
        <w:rPr>
          <w:rFonts w:ascii="Calibri" w:hAnsi="Calibri"/>
          <w:color w:val="14181F"/>
        </w:rPr>
        <w:t>Se generó un visualizador de bundle con Vite para revisar el peso relativo de cada dependencia.</w:t>
      </w:r>
    </w:p>
    <w:p>
      <w:pPr>
        <w:pStyle w:val="Heading1"/>
        <w:spacing w:before="240" w:after="120" w:line="264" w:lineRule="auto"/>
        <w:jc w:val="left"/>
      </w:pPr>
      <w:r>
        <w:rPr>
          <w:rFonts w:ascii="Calibri" w:hAnsi="Calibri"/>
          <w:b/>
        </w:rPr>
        <w:t>4. Evidencias</w:t>
      </w:r>
    </w:p>
    <w:p>
      <w:pPr>
        <w:pStyle w:val="Heading2"/>
        <w:spacing w:before="160" w:after="120" w:line="264" w:lineRule="auto"/>
        <w:jc w:val="left"/>
      </w:pPr>
      <w:r>
        <w:rPr>
          <w:rFonts w:ascii="Calibri" w:hAnsi="Calibri"/>
          <w:b/>
        </w:rPr>
        <w:t>Evidencia 1. Catálogo cargado</w:t>
      </w:r>
    </w:p>
    <w:p>
      <w:pPr>
        <w:spacing w:before="0" w:after="120" w:line="264" w:lineRule="auto"/>
        <w:jc w:val="both"/>
      </w:pPr>
      <w:r>
        <w:rPr>
          <w:rFonts w:ascii="Calibri" w:hAnsi="Calibri"/>
          <w:i w:val="0"/>
          <w:color w:val="14181F"/>
        </w:rPr>
        <w:t>La vista principal carga productos desde la API a través del proxy de desarrollo de Vite, mostrando tarjetas, precios y acciones sin errores de CORS.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483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4_01_cata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64" w:lineRule="auto"/>
        <w:jc w:val="center"/>
      </w:pPr>
      <w:r>
        <w:rPr>
          <w:rFonts w:ascii="Calibri" w:hAnsi="Calibri"/>
          <w:i/>
          <w:color w:val="5C6570"/>
          <w:sz w:val="20"/>
        </w:rPr>
        <w:t>Figura 1. Catálogo inicial con productos recuperados desde la API.</w:t>
      </w:r>
    </w:p>
    <w:p>
      <w:r>
        <w:br w:type="page"/>
      </w:r>
    </w:p>
    <w:p>
      <w:pPr>
        <w:pStyle w:val="Heading2"/>
        <w:spacing w:before="160" w:after="120" w:line="264" w:lineRule="auto"/>
        <w:jc w:val="left"/>
      </w:pPr>
      <w:r>
        <w:rPr>
          <w:rFonts w:ascii="Calibri" w:hAnsi="Calibri"/>
          <w:b/>
        </w:rPr>
        <w:t>Evidencia 2. Respuesta JSON de la API</w:t>
      </w:r>
    </w:p>
    <w:p>
      <w:pPr>
        <w:spacing w:before="0" w:after="120" w:line="264" w:lineRule="auto"/>
        <w:jc w:val="both"/>
      </w:pPr>
      <w:r>
        <w:rPr>
          <w:rFonts w:ascii="Calibri" w:hAnsi="Calibri"/>
          <w:i w:val="0"/>
          <w:color w:val="14181F"/>
        </w:rPr>
        <w:t>El endpoint devuelve la colección paginada con estructura JSON correcta, lo que confirma la comunicación entre el frontend y Laravel.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483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4_02_api_productos_j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64" w:lineRule="auto"/>
        <w:jc w:val="center"/>
      </w:pPr>
      <w:r>
        <w:rPr>
          <w:rFonts w:ascii="Calibri" w:hAnsi="Calibri"/>
          <w:i/>
          <w:color w:val="5C6570"/>
          <w:sz w:val="20"/>
        </w:rPr>
        <w:t>Figura 2. Respuesta JSON del endpoint /api/productos.</w:t>
      </w:r>
    </w:p>
    <w:p>
      <w:r>
        <w:br w:type="page"/>
      </w:r>
    </w:p>
    <w:p>
      <w:pPr>
        <w:pStyle w:val="Heading2"/>
        <w:spacing w:before="160" w:after="120" w:line="264" w:lineRule="auto"/>
        <w:jc w:val="left"/>
      </w:pPr>
      <w:r>
        <w:rPr>
          <w:rFonts w:ascii="Calibri" w:hAnsi="Calibri"/>
          <w:b/>
        </w:rPr>
        <w:t>Evidencia 3. Visualizador del bundle</w:t>
      </w:r>
    </w:p>
    <w:p>
      <w:pPr>
        <w:spacing w:before="0" w:after="120" w:line="264" w:lineRule="auto"/>
        <w:jc w:val="both"/>
      </w:pPr>
      <w:r>
        <w:rPr>
          <w:rFonts w:ascii="Calibri" w:hAnsi="Calibri"/>
          <w:i w:val="0"/>
          <w:color w:val="14181F"/>
        </w:rPr>
        <w:t>El gráfico de treemap permite identificar con claridad qué dependencias aportan más peso al bundle inicial y qué módulos se cargan de forma diferida.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4838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4_03_bundle_visuali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64" w:lineRule="auto"/>
        <w:jc w:val="center"/>
      </w:pPr>
      <w:r>
        <w:rPr>
          <w:rFonts w:ascii="Calibri" w:hAnsi="Calibri"/>
          <w:i/>
          <w:color w:val="5C6570"/>
          <w:sz w:val="20"/>
        </w:rPr>
        <w:t>Figura 3. Análisis visual del bundle obtenido con Vite.</w:t>
      </w:r>
    </w:p>
    <w:p>
      <w:r>
        <w:br w:type="page"/>
      </w:r>
    </w:p>
    <w:p>
      <w:pPr>
        <w:pStyle w:val="Heading2"/>
        <w:spacing w:before="160" w:after="120" w:line="264" w:lineRule="auto"/>
        <w:jc w:val="left"/>
      </w:pPr>
      <w:r>
        <w:rPr>
          <w:rFonts w:ascii="Calibri" w:hAnsi="Calibri"/>
          <w:b/>
        </w:rPr>
        <w:t>Evidencia 4. Rutas de Telescope</w:t>
      </w:r>
    </w:p>
    <w:p>
      <w:pPr>
        <w:spacing w:before="0" w:after="120" w:line="264" w:lineRule="auto"/>
        <w:jc w:val="both"/>
      </w:pPr>
      <w:r>
        <w:rPr>
          <w:rFonts w:ascii="Calibri" w:hAnsi="Calibri"/>
          <w:i w:val="0"/>
          <w:color w:val="14181F"/>
        </w:rPr>
        <w:t>La salida de Artisan confirma que Telescope quedó instalado con sus rutas internas para revisar requests, queries, modelos y otros eventos del sistema.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4838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4_04_telescope_rou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64" w:lineRule="auto"/>
        <w:jc w:val="center"/>
      </w:pPr>
      <w:r>
        <w:rPr>
          <w:rFonts w:ascii="Calibri" w:hAnsi="Calibri"/>
          <w:i/>
          <w:color w:val="5C6570"/>
          <w:sz w:val="20"/>
        </w:rPr>
        <w:t>Figura 4. Rutas registradas por Laravel Telescope.</w:t>
      </w:r>
    </w:p>
    <w:p>
      <w:r>
        <w:br w:type="page"/>
      </w:r>
    </w:p>
    <w:p>
      <w:pPr>
        <w:pStyle w:val="Heading1"/>
        <w:spacing w:before="240" w:after="120" w:line="264" w:lineRule="auto"/>
        <w:jc w:val="left"/>
      </w:pPr>
      <w:r>
        <w:rPr>
          <w:rFonts w:ascii="Calibri" w:hAnsi="Calibri"/>
          <w:b/>
        </w:rPr>
        <w:t>5. Resultado final</w:t>
      </w:r>
    </w:p>
    <w:p>
      <w:pPr>
        <w:spacing w:before="0" w:after="120" w:line="264" w:lineRule="auto"/>
        <w:jc w:val="both"/>
      </w:pPr>
      <w:r>
        <w:rPr>
          <w:rFonts w:ascii="Calibri" w:hAnsi="Calibri"/>
          <w:i w:val="0"/>
          <w:color w:val="14181F"/>
        </w:rPr>
        <w:t>La aplicación quedó lista para trabajar con un flujo más eficiente en servidor y cliente: las consultas al catálogo se responden con mejor reutilización de datos, el frontend se carga de forma más ligera y el análisis del bundle facilita detectar dependencias pesadas.</w:t>
      </w:r>
    </w:p>
    <w:p>
      <w:pPr>
        <w:spacing w:before="0" w:after="120" w:line="264" w:lineRule="auto"/>
        <w:jc w:val="both"/>
      </w:pPr>
      <w:r>
        <w:rPr>
          <w:rFonts w:ascii="Calibri" w:hAnsi="Calibri"/>
          <w:i w:val="0"/>
          <w:color w:val="14181F"/>
        </w:rPr>
        <w:t>Como cierre, la práctica deja una base funcional para seguir midiendo mejoras de rendimiento sin perder claridad en el código ni en la experiencia de uso.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18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