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0" w:line="264" w:lineRule="auto"/>
      </w:pPr>
    </w:p>
    <w:p>
      <w:pPr>
        <w:spacing w:before="0" w:after="80" w:line="264" w:lineRule="auto"/>
        <w:jc w:val="center"/>
      </w:pPr>
      <w:r>
        <w:rPr>
          <w:rFonts w:ascii="Calibri" w:hAnsi="Calibri"/>
          <w:color w:val="1F4D78"/>
          <w:sz w:val="36"/>
        </w:rPr>
        <w:t>Reporte de práctica</w:t>
      </w:r>
    </w:p>
    <w:p>
      <w:pPr>
        <w:spacing w:before="0" w:after="40" w:line="264" w:lineRule="auto"/>
        <w:jc w:val="center"/>
      </w:pPr>
      <w:r>
        <w:rPr>
          <w:rFonts w:ascii="Calibri" w:hAnsi="Calibri"/>
          <w:b/>
          <w:color w:val="151C26"/>
          <w:sz w:val="54"/>
        </w:rPr>
        <w:t>Práctica 15</w:t>
        <w:br/>
        <w:t>Despliegue en Producción</w:t>
      </w:r>
    </w:p>
    <w:p>
      <w:pPr>
        <w:spacing w:before="0" w:after="360" w:line="264" w:lineRule="auto"/>
        <w:jc w:val="center"/>
      </w:pPr>
      <w:r>
        <w:rPr>
          <w:rFonts w:ascii="Calibri" w:hAnsi="Calibri"/>
          <w:i/>
          <w:color w:val="5C6570"/>
          <w:sz w:val="24"/>
        </w:rPr>
        <w:t>Llevar la aplicación Full-Stack a un servidor real</w:t>
      </w:r>
    </w:p>
    <w:tbl>
      <w:tblPr>
        <w:tblStyle w:val="TableGrid"/>
        <w:tblW w:type="auto" w:w="0"/>
        <w:jc w:val="center"/>
        <w:tblLook w:firstColumn="1" w:firstRow="1" w:lastColumn="0" w:lastRow="0" w:noHBand="0" w:noVBand="1" w:val="04A0"/>
      </w:tblPr>
      <w:tblGrid>
        <w:gridCol w:w="4680"/>
        <w:gridCol w:w="4680"/>
      </w:tblGrid>
      <w:tr>
        <w:tc>
          <w:tcPr>
            <w:tcW w:type="dxa" w:w="2232"/>
            <w:tcW w:w="2232" w:type="dxa"/>
            <w:shd w:fill="EEF4FB"/>
          </w:tcPr>
          <w:p>
            <w:pPr>
              <w:spacing w:before="0" w:after="0" w:line="264" w:lineRule="auto"/>
              <w:jc w:val="left"/>
            </w:pPr>
            <w:r>
              <w:rPr>
                <w:rFonts w:ascii="Calibri" w:hAnsi="Calibri"/>
                <w:b/>
                <w:color w:val="1F4D78"/>
              </w:rPr>
              <w:t>Alumno</w:t>
            </w:r>
          </w:p>
        </w:tc>
        <w:tc>
          <w:tcPr>
            <w:tcW w:type="dxa" w:w="6552"/>
            <w:tcW w:w="6552" w:type="dxa"/>
          </w:tcPr>
          <w:p>
            <w:pPr>
              <w:spacing w:before="0" w:after="0" w:line="264" w:lineRule="auto"/>
              <w:jc w:val="left"/>
            </w:pPr>
            <w:r>
              <w:rPr>
                <w:rFonts w:ascii="Calibri" w:hAnsi="Calibri"/>
                <w:color w:val="151C26"/>
              </w:rPr>
              <w:t>Alejandro Avalos Espinosa</w:t>
            </w:r>
          </w:p>
        </w:tc>
      </w:tr>
      <w:tr>
        <w:tc>
          <w:tcPr>
            <w:tcW w:type="dxa" w:w="2232"/>
            <w:tcW w:w="2232" w:type="dxa"/>
            <w:shd w:fill="EEF4FB"/>
          </w:tcPr>
          <w:p>
            <w:pPr>
              <w:spacing w:before="0" w:after="0" w:line="264" w:lineRule="auto"/>
              <w:jc w:val="left"/>
            </w:pPr>
            <w:r>
              <w:rPr>
                <w:rFonts w:ascii="Calibri" w:hAnsi="Calibri"/>
                <w:b/>
                <w:color w:val="1F4D78"/>
              </w:rPr>
              <w:t>Asignatura</w:t>
            </w:r>
          </w:p>
        </w:tc>
        <w:tc>
          <w:tcPr>
            <w:tcW w:type="dxa" w:w="6552"/>
            <w:tcW w:w="6552" w:type="dxa"/>
          </w:tcPr>
          <w:p>
            <w:pPr>
              <w:spacing w:before="0" w:after="0" w:line="264" w:lineRule="auto"/>
              <w:jc w:val="left"/>
            </w:pPr>
            <w:r>
              <w:rPr>
                <w:rFonts w:ascii="Calibri" w:hAnsi="Calibri"/>
                <w:color w:val="151C26"/>
              </w:rPr>
              <w:t>Desarrollo Web Full-Stack</w:t>
            </w:r>
          </w:p>
        </w:tc>
      </w:tr>
      <w:tr>
        <w:tc>
          <w:tcPr>
            <w:tcW w:type="dxa" w:w="2232"/>
            <w:tcW w:w="2232" w:type="dxa"/>
            <w:shd w:fill="EEF4FB"/>
          </w:tcPr>
          <w:p>
            <w:pPr>
              <w:spacing w:before="0" w:after="0" w:line="264" w:lineRule="auto"/>
              <w:jc w:val="left"/>
            </w:pPr>
            <w:r>
              <w:rPr>
                <w:rFonts w:ascii="Calibri" w:hAnsi="Calibri"/>
                <w:b/>
                <w:color w:val="1F4D78"/>
              </w:rPr>
              <w:t>Tema</w:t>
            </w:r>
          </w:p>
        </w:tc>
        <w:tc>
          <w:tcPr>
            <w:tcW w:type="dxa" w:w="6552"/>
            <w:tcW w:w="6552" w:type="dxa"/>
          </w:tcPr>
          <w:p>
            <w:pPr>
              <w:spacing w:before="0" w:after="0" w:line="264" w:lineRule="auto"/>
              <w:jc w:val="left"/>
            </w:pPr>
            <w:r>
              <w:rPr>
                <w:rFonts w:ascii="Calibri" w:hAnsi="Calibri"/>
                <w:color w:val="151C26"/>
              </w:rPr>
              <w:t>Despliegue y operación en producción</w:t>
            </w:r>
          </w:p>
        </w:tc>
      </w:tr>
      <w:tr>
        <w:tc>
          <w:tcPr>
            <w:tcW w:type="dxa" w:w="2232"/>
            <w:tcW w:w="2232" w:type="dxa"/>
            <w:shd w:fill="EEF4FB"/>
          </w:tcPr>
          <w:p>
            <w:pPr>
              <w:spacing w:before="0" w:after="0" w:line="264" w:lineRule="auto"/>
              <w:jc w:val="left"/>
            </w:pPr>
            <w:r>
              <w:rPr>
                <w:rFonts w:ascii="Calibri" w:hAnsi="Calibri"/>
                <w:b/>
                <w:color w:val="1F4D78"/>
              </w:rPr>
              <w:t>Fecha</w:t>
            </w:r>
          </w:p>
        </w:tc>
        <w:tc>
          <w:tcPr>
            <w:tcW w:type="dxa" w:w="6552"/>
            <w:tcW w:w="6552" w:type="dxa"/>
          </w:tcPr>
          <w:p>
            <w:pPr>
              <w:spacing w:before="0" w:after="0" w:line="264" w:lineRule="auto"/>
              <w:jc w:val="left"/>
            </w:pPr>
            <w:r>
              <w:rPr>
                <w:rFonts w:ascii="Calibri" w:hAnsi="Calibri"/>
                <w:color w:val="151C26"/>
              </w:rPr>
              <w:t>11 de junio de 2026</w:t>
            </w:r>
          </w:p>
        </w:tc>
      </w:tr>
    </w:tbl>
    <w:p>
      <w:pPr>
        <w:spacing w:before="320" w:after="0" w:line="264" w:lineRule="auto"/>
        <w:jc w:val="center"/>
      </w:pPr>
      <w:r>
        <w:rPr>
          <w:rFonts w:ascii="Calibri" w:hAnsi="Calibri"/>
          <w:i/>
          <w:color w:val="5C6570"/>
          <w:sz w:val="22"/>
        </w:rPr>
        <w:t>Documento de entrega académica</w:t>
      </w:r>
    </w:p>
    <w:p>
      <w:r>
        <w:br w:type="page"/>
      </w:r>
    </w:p>
    <w:p>
      <w:pPr>
        <w:pStyle w:val="Heading1"/>
        <w:spacing w:before="240" w:after="120" w:line="264" w:lineRule="auto"/>
        <w:jc w:val="left"/>
      </w:pPr>
      <w:r>
        <w:rPr>
          <w:rFonts w:ascii="Calibri" w:hAnsi="Calibri"/>
          <w:b/>
        </w:rPr>
        <w:t>2. Objetivo</w:t>
      </w:r>
    </w:p>
    <w:p>
      <w:pPr>
        <w:spacing w:before="0" w:after="120" w:line="264" w:lineRule="auto"/>
        <w:jc w:val="both"/>
      </w:pPr>
      <w:r>
        <w:rPr>
          <w:rFonts w:ascii="Calibri" w:hAnsi="Calibri"/>
          <w:i w:val="0"/>
          <w:color w:val="151C26"/>
        </w:rPr>
        <w:t>Desplegar la aplicación completa Vue + Laravel en un entorno de producción, documentando la preparación del servidor, el uso de variables de entorno seguras, la publicación de la SPA con Nginx, la automatización del despliegue con GitHub Actions y el mantenimiento del worker de colas con Supervisor.</w:t>
      </w:r>
    </w:p>
    <w:p>
      <w:pPr>
        <w:pStyle w:val="Heading1"/>
        <w:spacing w:before="240" w:after="120" w:line="264" w:lineRule="auto"/>
        <w:jc w:val="left"/>
      </w:pPr>
      <w:r>
        <w:rPr>
          <w:rFonts w:ascii="Calibri" w:hAnsi="Calibri"/>
          <w:b/>
        </w:rPr>
        <w:t>3. Resumen técnico</w:t>
      </w:r>
    </w:p>
    <w:tbl>
      <w:tblPr>
        <w:tblStyle w:val="TableGrid"/>
        <w:tblW w:type="auto" w:w="0"/>
        <w:tblLook w:firstColumn="1" w:firstRow="1" w:lastColumn="0" w:lastRow="0" w:noHBand="0" w:noVBand="1" w:val="04A0"/>
      </w:tblPr>
      <w:tblGrid>
        <w:gridCol w:w="4680"/>
        <w:gridCol w:w="4680"/>
      </w:tblGrid>
      <w:tr>
        <w:tc>
          <w:tcPr>
            <w:tcW w:type="dxa" w:w="2880"/>
            <w:tcW w:w="2880" w:type="dxa"/>
            <w:shd w:fill="EEF4FB"/>
          </w:tcPr>
          <w:p>
            <w:pPr>
              <w:spacing w:before="0" w:after="0" w:line="264" w:lineRule="auto"/>
              <w:jc w:val="left"/>
            </w:pPr>
            <w:r>
              <w:rPr>
                <w:rFonts w:ascii="Calibri" w:hAnsi="Calibri"/>
                <w:b/>
                <w:color w:val="1F4D78"/>
              </w:rPr>
              <w:t>Elemento</w:t>
            </w:r>
          </w:p>
        </w:tc>
        <w:tc>
          <w:tcPr>
            <w:tcW w:type="dxa" w:w="6336"/>
            <w:tcW w:w="6336" w:type="dxa"/>
            <w:shd w:fill="EEF4FB"/>
          </w:tcPr>
          <w:p>
            <w:pPr>
              <w:spacing w:before="0" w:after="0" w:line="264" w:lineRule="auto"/>
              <w:jc w:val="left"/>
            </w:pPr>
            <w:r>
              <w:rPr>
                <w:rFonts w:ascii="Calibri" w:hAnsi="Calibri"/>
                <w:b/>
                <w:color w:val="1F4D78"/>
              </w:rPr>
              <w:t>Propósito</w:t>
            </w:r>
          </w:p>
        </w:tc>
      </w:tr>
      <w:tr>
        <w:tc>
          <w:tcPr>
            <w:tcW w:type="dxa" w:w="2880"/>
            <w:tcW w:w="2880" w:type="dxa"/>
          </w:tcPr>
          <w:p>
            <w:pPr>
              <w:spacing w:before="0" w:after="0" w:line="264" w:lineRule="auto"/>
              <w:jc w:val="left"/>
            </w:pPr>
            <w:r>
              <w:rPr>
                <w:rFonts w:ascii="Calibri" w:hAnsi="Calibri"/>
                <w:b/>
                <w:color w:val="151C26"/>
              </w:rPr>
              <w:t>Nginx</w:t>
            </w:r>
          </w:p>
        </w:tc>
        <w:tc>
          <w:tcPr>
            <w:tcW w:type="dxa" w:w="6336"/>
            <w:tcW w:w="6336" w:type="dxa"/>
          </w:tcPr>
          <w:p>
            <w:pPr>
              <w:spacing w:before="0" w:after="0" w:line="264" w:lineRule="auto"/>
              <w:jc w:val="left"/>
            </w:pPr>
            <w:r>
              <w:rPr>
                <w:rFonts w:ascii="Calibri" w:hAnsi="Calibri"/>
                <w:color w:val="151C26"/>
              </w:rPr>
              <w:t>Servir la SPA y enrutar /api hacia Laravel en producción.</w:t>
            </w:r>
          </w:p>
        </w:tc>
      </w:tr>
      <w:tr>
        <w:tc>
          <w:tcPr>
            <w:tcW w:type="dxa" w:w="2880"/>
            <w:tcW w:w="2880" w:type="dxa"/>
          </w:tcPr>
          <w:p>
            <w:pPr>
              <w:spacing w:before="0" w:after="0" w:line="264" w:lineRule="auto"/>
              <w:jc w:val="left"/>
            </w:pPr>
            <w:r>
              <w:rPr>
                <w:rFonts w:ascii="Calibri" w:hAnsi="Calibri"/>
                <w:b/>
                <w:color w:val="151C26"/>
              </w:rPr>
              <w:t>Laravel</w:t>
            </w:r>
          </w:p>
        </w:tc>
        <w:tc>
          <w:tcPr>
            <w:tcW w:type="dxa" w:w="6336"/>
            <w:tcW w:w="6336" w:type="dxa"/>
          </w:tcPr>
          <w:p>
            <w:pPr>
              <w:spacing w:before="0" w:after="0" w:line="264" w:lineRule="auto"/>
              <w:jc w:val="left"/>
            </w:pPr>
            <w:r>
              <w:rPr>
                <w:rFonts w:ascii="Calibri" w:hAnsi="Calibri"/>
                <w:color w:val="151C26"/>
              </w:rPr>
              <w:t>Ejecutar migraciones, cachear configuración y atender la API.</w:t>
            </w:r>
          </w:p>
        </w:tc>
      </w:tr>
      <w:tr>
        <w:tc>
          <w:tcPr>
            <w:tcW w:type="dxa" w:w="2880"/>
            <w:tcW w:w="2880" w:type="dxa"/>
          </w:tcPr>
          <w:p>
            <w:pPr>
              <w:spacing w:before="0" w:after="0" w:line="264" w:lineRule="auto"/>
              <w:jc w:val="left"/>
            </w:pPr>
            <w:r>
              <w:rPr>
                <w:rFonts w:ascii="Calibri" w:hAnsi="Calibri"/>
                <w:b/>
                <w:color w:val="151C26"/>
              </w:rPr>
              <w:t>Vue</w:t>
            </w:r>
          </w:p>
        </w:tc>
        <w:tc>
          <w:tcPr>
            <w:tcW w:type="dxa" w:w="6336"/>
            <w:tcW w:w="6336" w:type="dxa"/>
          </w:tcPr>
          <w:p>
            <w:pPr>
              <w:spacing w:before="0" w:after="0" w:line="264" w:lineRule="auto"/>
              <w:jc w:val="left"/>
            </w:pPr>
            <w:r>
              <w:rPr>
                <w:rFonts w:ascii="Calibri" w:hAnsi="Calibri"/>
                <w:color w:val="151C26"/>
              </w:rPr>
              <w:t>Compilar la interfaz y publicar los archivos estáticos dentro de /dist.</w:t>
            </w:r>
          </w:p>
        </w:tc>
      </w:tr>
      <w:tr>
        <w:tc>
          <w:tcPr>
            <w:tcW w:type="dxa" w:w="2880"/>
            <w:tcW w:w="2880" w:type="dxa"/>
          </w:tcPr>
          <w:p>
            <w:pPr>
              <w:spacing w:before="0" w:after="0" w:line="264" w:lineRule="auto"/>
              <w:jc w:val="left"/>
            </w:pPr>
            <w:r>
              <w:rPr>
                <w:rFonts w:ascii="Calibri" w:hAnsi="Calibri"/>
                <w:b/>
                <w:color w:val="151C26"/>
              </w:rPr>
              <w:t>Supervisor</w:t>
            </w:r>
          </w:p>
        </w:tc>
        <w:tc>
          <w:tcPr>
            <w:tcW w:type="dxa" w:w="6336"/>
            <w:tcW w:w="6336" w:type="dxa"/>
          </w:tcPr>
          <w:p>
            <w:pPr>
              <w:spacing w:before="0" w:after="0" w:line="264" w:lineRule="auto"/>
              <w:jc w:val="left"/>
            </w:pPr>
            <w:r>
              <w:rPr>
                <w:rFonts w:ascii="Calibri" w:hAnsi="Calibri"/>
                <w:color w:val="151C26"/>
              </w:rPr>
              <w:t>Mantener el worker de colas y el proceso de Reverb activos.</w:t>
            </w:r>
          </w:p>
        </w:tc>
      </w:tr>
      <w:tr>
        <w:tc>
          <w:tcPr>
            <w:tcW w:type="dxa" w:w="2880"/>
            <w:tcW w:w="2880" w:type="dxa"/>
          </w:tcPr>
          <w:p>
            <w:pPr>
              <w:spacing w:before="0" w:after="0" w:line="264" w:lineRule="auto"/>
              <w:jc w:val="left"/>
            </w:pPr>
            <w:r>
              <w:rPr>
                <w:rFonts w:ascii="Calibri" w:hAnsi="Calibri"/>
                <w:b/>
                <w:color w:val="151C26"/>
              </w:rPr>
              <w:t>GitHub Actions</w:t>
            </w:r>
          </w:p>
        </w:tc>
        <w:tc>
          <w:tcPr>
            <w:tcW w:type="dxa" w:w="6336"/>
            <w:tcW w:w="6336" w:type="dxa"/>
          </w:tcPr>
          <w:p>
            <w:pPr>
              <w:spacing w:before="0" w:after="0" w:line="264" w:lineRule="auto"/>
              <w:jc w:val="left"/>
            </w:pPr>
            <w:r>
              <w:rPr>
                <w:rFonts w:ascii="Calibri" w:hAnsi="Calibri"/>
                <w:color w:val="151C26"/>
              </w:rPr>
              <w:t>Automatizar el despliegue en cada push a main.</w:t>
            </w:r>
          </w:p>
        </w:tc>
      </w:tr>
    </w:tbl>
    <w:p>
      <w:pPr>
        <w:pStyle w:val="Heading1"/>
        <w:spacing w:before="240" w:after="120" w:line="264" w:lineRule="auto"/>
        <w:jc w:val="left"/>
      </w:pPr>
      <w:r>
        <w:rPr>
          <w:rFonts w:ascii="Calibri" w:hAnsi="Calibri"/>
          <w:b/>
        </w:rPr>
        <w:t>4. Desarrollo realizado</w:t>
      </w:r>
    </w:p>
    <w:p>
      <w:pPr>
        <w:pStyle w:val="ListBullet"/>
        <w:spacing w:before="0" w:after="60" w:line="264" w:lineRule="auto"/>
        <w:jc w:val="left"/>
      </w:pPr>
      <w:r>
        <w:rPr>
          <w:rFonts w:ascii="Calibri" w:hAnsi="Calibri"/>
          <w:color w:val="151C26"/>
        </w:rPr>
        <w:t>Se prepararon archivos de entorno para backend y frontend con valores pensados para producción.</w:t>
      </w:r>
    </w:p>
    <w:p>
      <w:pPr>
        <w:pStyle w:val="ListBullet"/>
        <w:spacing w:before="0" w:after="60" w:line="264" w:lineRule="auto"/>
        <w:jc w:val="left"/>
      </w:pPr>
      <w:r>
        <w:rPr>
          <w:rFonts w:ascii="Calibri" w:hAnsi="Calibri"/>
          <w:color w:val="151C26"/>
        </w:rPr>
        <w:t>Se definió una configuración de Nginx para servir la SPA y el backend detrás de PHP-FPM.</w:t>
      </w:r>
    </w:p>
    <w:p>
      <w:pPr>
        <w:pStyle w:val="ListBullet"/>
        <w:spacing w:before="0" w:after="60" w:line="264" w:lineRule="auto"/>
        <w:jc w:val="left"/>
      </w:pPr>
      <w:r>
        <w:rPr>
          <w:rFonts w:ascii="Calibri" w:hAnsi="Calibri"/>
          <w:color w:val="151C26"/>
        </w:rPr>
        <w:t>Se documentó un servicio de Supervisor para el worker de colas y el servidor de Reverb.</w:t>
      </w:r>
    </w:p>
    <w:p>
      <w:pPr>
        <w:pStyle w:val="ListBullet"/>
        <w:spacing w:before="0" w:after="60" w:line="264" w:lineRule="auto"/>
        <w:jc w:val="left"/>
      </w:pPr>
      <w:r>
        <w:rPr>
          <w:rFonts w:ascii="Calibri" w:hAnsi="Calibri"/>
          <w:color w:val="151C26"/>
        </w:rPr>
        <w:t>Se creó un flujo de GitHub Actions para desplegar backend y frontend por SSH.</w:t>
      </w:r>
    </w:p>
    <w:p>
      <w:pPr>
        <w:pStyle w:val="ListBullet"/>
        <w:spacing w:before="0" w:after="60" w:line="264" w:lineRule="auto"/>
        <w:jc w:val="left"/>
      </w:pPr>
      <w:r>
        <w:rPr>
          <w:rFonts w:ascii="Calibri" w:hAnsi="Calibri"/>
          <w:color w:val="151C26"/>
        </w:rPr>
        <w:t>Se ejecutó el build de Vue y se aplicó la optimización de Laravel para verificar el cierre operativo.</w:t>
      </w:r>
    </w:p>
    <w:p>
      <w:pPr>
        <w:pStyle w:val="Heading1"/>
        <w:spacing w:before="240" w:after="120" w:line="264" w:lineRule="auto"/>
        <w:jc w:val="left"/>
      </w:pPr>
      <w:r>
        <w:rPr>
          <w:rFonts w:ascii="Calibri" w:hAnsi="Calibri"/>
          <w:b/>
        </w:rPr>
        <w:t>5. Evidencias</w:t>
      </w:r>
    </w:p>
    <w:p>
      <w:pPr>
        <w:pStyle w:val="Heading2"/>
        <w:spacing w:before="160" w:after="120" w:line="264" w:lineRule="auto"/>
        <w:jc w:val="left"/>
      </w:pPr>
      <w:r>
        <w:rPr>
          <w:rFonts w:ascii="Calibri" w:hAnsi="Calibri"/>
          <w:b/>
        </w:rPr>
        <w:t>Evidencia 1. Variables de entorno del backend</w:t>
      </w:r>
    </w:p>
    <w:p>
      <w:pPr>
        <w:spacing w:before="0" w:after="120" w:line="264" w:lineRule="auto"/>
        <w:jc w:val="both"/>
      </w:pPr>
      <w:r>
        <w:rPr>
          <w:rFonts w:ascii="Calibri" w:hAnsi="Calibri"/>
          <w:i w:val="0"/>
          <w:color w:val="151C26"/>
        </w:rPr>
        <w:t>El archivo de producción del backend concentra los parámetros del entorno real: base de datos, Redis, Reverb y modo production.</w:t>
      </w:r>
    </w:p>
    <w:p>
      <w:pPr>
        <w:spacing w:before="60" w:after="0" w:line="264" w:lineRule="auto"/>
        <w:jc w:val="center"/>
      </w:pPr>
      <w:r>
        <w:drawing>
          <wp:inline xmlns:a="http://schemas.openxmlformats.org/drawingml/2006/main" xmlns:pic="http://schemas.openxmlformats.org/drawingml/2006/picture">
            <wp:extent cx="5806440" cy="4838700"/>
            <wp:docPr id="1" name="Picture 1"/>
            <wp:cNvGraphicFramePr>
              <a:graphicFrameLocks noChangeAspect="1"/>
            </wp:cNvGraphicFramePr>
            <a:graphic>
              <a:graphicData uri="http://schemas.openxmlformats.org/drawingml/2006/picture">
                <pic:pic>
                  <pic:nvPicPr>
                    <pic:cNvPr id="0" name="practica15_01_env_backend.png"/>
                    <pic:cNvPicPr/>
                  </pic:nvPicPr>
                  <pic:blipFill>
                    <a:blip r:embed="rId9"/>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1. Variables de entorno para Laravel en producción.</w:t>
      </w:r>
    </w:p>
    <w:p>
      <w:r>
        <w:br w:type="page"/>
      </w:r>
    </w:p>
    <w:p>
      <w:pPr>
        <w:pStyle w:val="Heading2"/>
        <w:spacing w:before="160" w:after="120" w:line="264" w:lineRule="auto"/>
        <w:jc w:val="left"/>
      </w:pPr>
      <w:r>
        <w:rPr>
          <w:rFonts w:ascii="Calibri" w:hAnsi="Calibri"/>
          <w:b/>
        </w:rPr>
        <w:t>Evidencia 2. Variables de entorno del frontend</w:t>
      </w:r>
    </w:p>
    <w:p>
      <w:pPr>
        <w:spacing w:before="0" w:after="120" w:line="264" w:lineRule="auto"/>
        <w:jc w:val="both"/>
      </w:pPr>
      <w:r>
        <w:rPr>
          <w:rFonts w:ascii="Calibri" w:hAnsi="Calibri"/>
          <w:i w:val="0"/>
          <w:color w:val="151C26"/>
        </w:rPr>
        <w:t>El frontend toma la URL pública de la API y conserva la versión y los datos de Reverb necesarios para la comunicación en vivo.</w:t>
      </w:r>
    </w:p>
    <w:p>
      <w:pPr>
        <w:spacing w:before="60" w:after="0" w:line="264" w:lineRule="auto"/>
        <w:jc w:val="center"/>
      </w:pPr>
      <w:r>
        <w:drawing>
          <wp:inline xmlns:a="http://schemas.openxmlformats.org/drawingml/2006/main" xmlns:pic="http://schemas.openxmlformats.org/drawingml/2006/picture">
            <wp:extent cx="5806440" cy="4838700"/>
            <wp:docPr id="2" name="Picture 2"/>
            <wp:cNvGraphicFramePr>
              <a:graphicFrameLocks noChangeAspect="1"/>
            </wp:cNvGraphicFramePr>
            <a:graphic>
              <a:graphicData uri="http://schemas.openxmlformats.org/drawingml/2006/picture">
                <pic:pic>
                  <pic:nvPicPr>
                    <pic:cNvPr id="0" name="practica15_02_env_frontend.png"/>
                    <pic:cNvPicPr/>
                  </pic:nvPicPr>
                  <pic:blipFill>
                    <a:blip r:embed="rId10"/>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2. Variables de entorno para Vue en producción.</w:t>
      </w:r>
    </w:p>
    <w:p>
      <w:r>
        <w:br w:type="page"/>
      </w:r>
    </w:p>
    <w:p>
      <w:pPr>
        <w:pStyle w:val="Heading2"/>
        <w:spacing w:before="160" w:after="120" w:line="264" w:lineRule="auto"/>
        <w:jc w:val="left"/>
      </w:pPr>
      <w:r>
        <w:rPr>
          <w:rFonts w:ascii="Calibri" w:hAnsi="Calibri"/>
          <w:b/>
        </w:rPr>
        <w:t>Evidencia 3. Configuración de Nginx</w:t>
      </w:r>
    </w:p>
    <w:p>
      <w:pPr>
        <w:spacing w:before="0" w:after="120" w:line="264" w:lineRule="auto"/>
        <w:jc w:val="both"/>
      </w:pPr>
      <w:r>
        <w:rPr>
          <w:rFonts w:ascii="Calibri" w:hAnsi="Calibri"/>
          <w:i w:val="0"/>
          <w:color w:val="151C26"/>
        </w:rPr>
        <w:t>La configuración define la raíz de la SPA, la ruta de la API y el acceso a los archivos de storage mediante alias.</w:t>
      </w:r>
    </w:p>
    <w:p>
      <w:pPr>
        <w:spacing w:before="60" w:after="0" w:line="264" w:lineRule="auto"/>
        <w:jc w:val="center"/>
      </w:pPr>
      <w:r>
        <w:drawing>
          <wp:inline xmlns:a="http://schemas.openxmlformats.org/drawingml/2006/main" xmlns:pic="http://schemas.openxmlformats.org/drawingml/2006/picture">
            <wp:extent cx="5806440" cy="4838700"/>
            <wp:docPr id="3" name="Picture 3"/>
            <wp:cNvGraphicFramePr>
              <a:graphicFrameLocks noChangeAspect="1"/>
            </wp:cNvGraphicFramePr>
            <a:graphic>
              <a:graphicData uri="http://schemas.openxmlformats.org/drawingml/2006/picture">
                <pic:pic>
                  <pic:nvPicPr>
                    <pic:cNvPr id="0" name="practica15_03_nginx.png"/>
                    <pic:cNvPicPr/>
                  </pic:nvPicPr>
                  <pic:blipFill>
                    <a:blip r:embed="rId11"/>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3. Virtual host de Nginx para producción.</w:t>
      </w:r>
    </w:p>
    <w:p>
      <w:r>
        <w:br w:type="page"/>
      </w:r>
    </w:p>
    <w:p>
      <w:pPr>
        <w:pStyle w:val="Heading2"/>
        <w:spacing w:before="160" w:after="120" w:line="264" w:lineRule="auto"/>
        <w:jc w:val="left"/>
      </w:pPr>
      <w:r>
        <w:rPr>
          <w:rFonts w:ascii="Calibri" w:hAnsi="Calibri"/>
          <w:b/>
        </w:rPr>
        <w:t>Evidencia 4. Configuración de Supervisor</w:t>
      </w:r>
    </w:p>
    <w:p>
      <w:pPr>
        <w:spacing w:before="0" w:after="120" w:line="264" w:lineRule="auto"/>
        <w:jc w:val="both"/>
      </w:pPr>
      <w:r>
        <w:rPr>
          <w:rFonts w:ascii="Calibri" w:hAnsi="Calibri"/>
          <w:i w:val="0"/>
          <w:color w:val="151C26"/>
        </w:rPr>
        <w:t>El archivo mantiene el worker de colas y el servidor de Reverb activos, con reinicio automático en caso de fallas.</w:t>
      </w:r>
    </w:p>
    <w:p>
      <w:pPr>
        <w:spacing w:before="60" w:after="0" w:line="264" w:lineRule="auto"/>
        <w:jc w:val="center"/>
      </w:pPr>
      <w:r>
        <w:drawing>
          <wp:inline xmlns:a="http://schemas.openxmlformats.org/drawingml/2006/main" xmlns:pic="http://schemas.openxmlformats.org/drawingml/2006/picture">
            <wp:extent cx="5806440" cy="4838700"/>
            <wp:docPr id="4" name="Picture 4"/>
            <wp:cNvGraphicFramePr>
              <a:graphicFrameLocks noChangeAspect="1"/>
            </wp:cNvGraphicFramePr>
            <a:graphic>
              <a:graphicData uri="http://schemas.openxmlformats.org/drawingml/2006/picture">
                <pic:pic>
                  <pic:nvPicPr>
                    <pic:cNvPr id="0" name="practica15_04_supervisor.png"/>
                    <pic:cNvPicPr/>
                  </pic:nvPicPr>
                  <pic:blipFill>
                    <a:blip r:embed="rId12"/>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4. Supervisor para procesos de cola y Reverb.</w:t>
      </w:r>
    </w:p>
    <w:p>
      <w:r>
        <w:br w:type="page"/>
      </w:r>
    </w:p>
    <w:p>
      <w:pPr>
        <w:pStyle w:val="Heading2"/>
        <w:spacing w:before="160" w:after="120" w:line="264" w:lineRule="auto"/>
        <w:jc w:val="left"/>
      </w:pPr>
      <w:r>
        <w:rPr>
          <w:rFonts w:ascii="Calibri" w:hAnsi="Calibri"/>
          <w:b/>
        </w:rPr>
        <w:t>Evidencia 5. Workflow de despliegue</w:t>
      </w:r>
    </w:p>
    <w:p>
      <w:pPr>
        <w:spacing w:before="0" w:after="120" w:line="264" w:lineRule="auto"/>
        <w:jc w:val="both"/>
      </w:pPr>
      <w:r>
        <w:rPr>
          <w:rFonts w:ascii="Calibri" w:hAnsi="Calibri"/>
          <w:i w:val="0"/>
          <w:color w:val="151C26"/>
        </w:rPr>
        <w:t>El pipeline de GitHub Actions ejecuta pull, instala dependencias, aplica migraciones, limpia cachés y construye el frontend.</w:t>
      </w:r>
    </w:p>
    <w:p>
      <w:pPr>
        <w:spacing w:before="60" w:after="0" w:line="264" w:lineRule="auto"/>
        <w:jc w:val="center"/>
      </w:pPr>
      <w:r>
        <w:drawing>
          <wp:inline xmlns:a="http://schemas.openxmlformats.org/drawingml/2006/main" xmlns:pic="http://schemas.openxmlformats.org/drawingml/2006/picture">
            <wp:extent cx="5806440" cy="4838700"/>
            <wp:docPr id="5" name="Picture 5"/>
            <wp:cNvGraphicFramePr>
              <a:graphicFrameLocks noChangeAspect="1"/>
            </wp:cNvGraphicFramePr>
            <a:graphic>
              <a:graphicData uri="http://schemas.openxmlformats.org/drawingml/2006/picture">
                <pic:pic>
                  <pic:nvPicPr>
                    <pic:cNvPr id="0" name="practica15_05_workflow.png"/>
                    <pic:cNvPicPr/>
                  </pic:nvPicPr>
                  <pic:blipFill>
                    <a:blip r:embed="rId13"/>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5. Pipeline de despliegue automático con GitHub Actions.</w:t>
      </w:r>
    </w:p>
    <w:p>
      <w:r>
        <w:br w:type="page"/>
      </w:r>
    </w:p>
    <w:p>
      <w:pPr>
        <w:pStyle w:val="Heading2"/>
        <w:spacing w:before="160" w:after="120" w:line="264" w:lineRule="auto"/>
        <w:jc w:val="left"/>
      </w:pPr>
      <w:r>
        <w:rPr>
          <w:rFonts w:ascii="Calibri" w:hAnsi="Calibri"/>
          <w:b/>
        </w:rPr>
        <w:t>Evidencia 6. Build del frontend</w:t>
      </w:r>
    </w:p>
    <w:p>
      <w:pPr>
        <w:spacing w:before="0" w:after="120" w:line="264" w:lineRule="auto"/>
        <w:jc w:val="both"/>
      </w:pPr>
      <w:r>
        <w:rPr>
          <w:rFonts w:ascii="Calibri" w:hAnsi="Calibri"/>
          <w:i w:val="0"/>
          <w:color w:val="151C26"/>
        </w:rPr>
        <w:t>La salida de Vite confirma que la compilación de producción concluye con éxito y muestra el tamaño de los bundles resultantes.</w:t>
      </w:r>
    </w:p>
    <w:p>
      <w:pPr>
        <w:spacing w:before="60" w:after="0" w:line="264" w:lineRule="auto"/>
        <w:jc w:val="center"/>
      </w:pPr>
      <w:r>
        <w:drawing>
          <wp:inline xmlns:a="http://schemas.openxmlformats.org/drawingml/2006/main" xmlns:pic="http://schemas.openxmlformats.org/drawingml/2006/picture">
            <wp:extent cx="5806440" cy="8407241"/>
            <wp:docPr id="6" name="Picture 6"/>
            <wp:cNvGraphicFramePr>
              <a:graphicFrameLocks noChangeAspect="1"/>
            </wp:cNvGraphicFramePr>
            <a:graphic>
              <a:graphicData uri="http://schemas.openxmlformats.org/drawingml/2006/picture">
                <pic:pic>
                  <pic:nvPicPr>
                    <pic:cNvPr id="0" name="practica15_06_build_output.png"/>
                    <pic:cNvPicPr/>
                  </pic:nvPicPr>
                  <pic:blipFill>
                    <a:blip r:embed="rId14"/>
                    <a:stretch>
                      <a:fillRect/>
                    </a:stretch>
                  </pic:blipFill>
                  <pic:spPr>
                    <a:xfrm>
                      <a:off x="0" y="0"/>
                      <a:ext cx="5806440" cy="8407241"/>
                    </a:xfrm>
                    <a:prstGeom prst="rect"/>
                  </pic:spPr>
                </pic:pic>
              </a:graphicData>
            </a:graphic>
          </wp:inline>
        </w:drawing>
      </w:r>
    </w:p>
    <w:p>
      <w:pPr>
        <w:spacing w:before="80" w:after="200" w:line="264" w:lineRule="auto"/>
        <w:jc w:val="center"/>
      </w:pPr>
      <w:r>
        <w:rPr>
          <w:rFonts w:ascii="Calibri" w:hAnsi="Calibri"/>
          <w:i/>
          <w:color w:val="5C6570"/>
          <w:sz w:val="20"/>
        </w:rPr>
        <w:t>Figura 6. Resultado del build de producción de Vue.</w:t>
      </w:r>
    </w:p>
    <w:p>
      <w:r>
        <w:br w:type="page"/>
      </w:r>
    </w:p>
    <w:p>
      <w:pPr>
        <w:pStyle w:val="Heading2"/>
        <w:spacing w:before="160" w:after="120" w:line="264" w:lineRule="auto"/>
        <w:jc w:val="left"/>
      </w:pPr>
      <w:r>
        <w:rPr>
          <w:rFonts w:ascii="Calibri" w:hAnsi="Calibri"/>
          <w:b/>
        </w:rPr>
        <w:t>Evidencia 7. Optimización de Laravel</w:t>
      </w:r>
    </w:p>
    <w:p>
      <w:pPr>
        <w:spacing w:before="0" w:after="120" w:line="264" w:lineRule="auto"/>
        <w:jc w:val="both"/>
      </w:pPr>
      <w:r>
        <w:rPr>
          <w:rFonts w:ascii="Calibri" w:hAnsi="Calibri"/>
          <w:i w:val="0"/>
          <w:color w:val="151C26"/>
        </w:rPr>
        <w:t>El comando optimize cachea configuración, rutas y vistas para dejar Laravel listo para servir con menor sobrecarga.</w:t>
      </w:r>
    </w:p>
    <w:p>
      <w:pPr>
        <w:spacing w:before="60" w:after="0" w:line="264" w:lineRule="auto"/>
        <w:jc w:val="center"/>
      </w:pPr>
      <w:r>
        <w:drawing>
          <wp:inline xmlns:a="http://schemas.openxmlformats.org/drawingml/2006/main" xmlns:pic="http://schemas.openxmlformats.org/drawingml/2006/picture">
            <wp:extent cx="5806440" cy="4838700"/>
            <wp:docPr id="7" name="Picture 7"/>
            <wp:cNvGraphicFramePr>
              <a:graphicFrameLocks noChangeAspect="1"/>
            </wp:cNvGraphicFramePr>
            <a:graphic>
              <a:graphicData uri="http://schemas.openxmlformats.org/drawingml/2006/picture">
                <pic:pic>
                  <pic:nvPicPr>
                    <pic:cNvPr id="0" name="practica15_07_optimize_output.png"/>
                    <pic:cNvPicPr/>
                  </pic:nvPicPr>
                  <pic:blipFill>
                    <a:blip r:embed="rId15"/>
                    <a:stretch>
                      <a:fillRect/>
                    </a:stretch>
                  </pic:blipFill>
                  <pic:spPr>
                    <a:xfrm>
                      <a:off x="0" y="0"/>
                      <a:ext cx="5806440" cy="4838700"/>
                    </a:xfrm>
                    <a:prstGeom prst="rect"/>
                  </pic:spPr>
                </pic:pic>
              </a:graphicData>
            </a:graphic>
          </wp:inline>
        </w:drawing>
      </w:r>
    </w:p>
    <w:p>
      <w:pPr>
        <w:spacing w:before="80" w:after="200" w:line="264" w:lineRule="auto"/>
        <w:jc w:val="center"/>
      </w:pPr>
      <w:r>
        <w:rPr>
          <w:rFonts w:ascii="Calibri" w:hAnsi="Calibri"/>
          <w:i/>
          <w:color w:val="5C6570"/>
          <w:sz w:val="20"/>
        </w:rPr>
        <w:t>Figura 7. Optimización final de Laravel para producción.</w:t>
      </w:r>
    </w:p>
    <w:p>
      <w:r>
        <w:br w:type="page"/>
      </w:r>
    </w:p>
    <w:p>
      <w:pPr>
        <w:pStyle w:val="Heading1"/>
        <w:spacing w:before="240" w:after="120" w:line="264" w:lineRule="auto"/>
        <w:jc w:val="left"/>
      </w:pPr>
      <w:r>
        <w:rPr>
          <w:rFonts w:ascii="Calibri" w:hAnsi="Calibri"/>
          <w:b/>
        </w:rPr>
        <w:t>6. Resultado final</w:t>
      </w:r>
    </w:p>
    <w:p>
      <w:pPr>
        <w:spacing w:before="0" w:after="120" w:line="264" w:lineRule="auto"/>
        <w:jc w:val="both"/>
      </w:pPr>
      <w:r>
        <w:rPr>
          <w:rFonts w:ascii="Calibri" w:hAnsi="Calibri"/>
          <w:i w:val="0"/>
          <w:color w:val="151C26"/>
        </w:rPr>
        <w:t>La práctica deja documentada una ruta de despliegue completa para la aplicación Full-Stack: entorno de producción preparado, servidor web configurado, colas supervisadas, publicación automática y verificación de build y cachés.</w:t>
      </w:r>
    </w:p>
    <w:p>
      <w:pPr>
        <w:spacing w:before="0" w:after="120" w:line="264" w:lineRule="auto"/>
        <w:jc w:val="both"/>
      </w:pPr>
      <w:r>
        <w:rPr>
          <w:rFonts w:ascii="Calibri" w:hAnsi="Calibri"/>
          <w:i w:val="0"/>
          <w:color w:val="151C26"/>
        </w:rPr>
        <w:t>Con esta base, el proyecto puede moverse a un VPS real siguiendo el mismo esquema, reduciendo tiempos manuales y manteniendo consistencia entre cada entrega.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51C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