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ng" ContentType="image/pn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da58abc8ad784d5f" /><Relationship Type="http://schemas.openxmlformats.org/package/2006/relationships/metadata/core-properties" Target="/docProps/core.xml" Id="R049d3f7234214775" /><Relationship Type="http://schemas.openxmlformats.org/officeDocument/2006/relationships/extended-properties" Target="/docProps/app.xml" Id="R643099b5745243e7" /><Relationship Type="http://schemas.openxmlformats.org/officeDocument/2006/relationships/custom-properties" Target="/docProps/custom.xml" Id="R601d2000bb0d4ce3"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6"/>
        </w:rPr>
        <w:t xml:space="preserve">E-Commerce Business Intelligence Dashboard</w:t>
      </w:r>
    </w:p>
    <w:p w14:paraId="00100002" w14:textId="00100003">
      <w:pPr>
        <w:pStyle w:val="Subtitle"/>
        <w:spacing w:after="120"/>
        <w:jc w:val="center"/>
      </w:pPr>
      <w:r>
        <w:rPr>
          <w:color w:val="4A4A4A"/>
          <w:sz w:val="32"/>
        </w:rPr>
        <w:t xml:space="preserve">Project Report</w:t>
      </w:r>
    </w:p>
    <w:p w14:paraId="00100004" w14:textId="00100005">
      <w:pPr>
        <w:spacing w:after="80"/>
        <w:jc w:val="center"/>
      </w:pPr>
      <w:r>
        <w:rPr>
          <w:color w:val="666666"/>
          <w:sz w:val="22"/>
        </w:rPr>
        <w:t xml:space="preserve">Dataset: Global E-Commerce Sales &amp; Customer Data  |  Period: January 2023 – December 2025</w:t>
      </w:r>
    </w:p>
    <w:p w14:paraId="00100006" w14:textId="00100007">
      <w:pPr>
        <w:spacing w:after="480"/>
        <w:jc w:val="center"/>
      </w:pPr>
      <w:r>
        <w:rPr>
          <w:color w:val="1155CC"/>
          <w:sz w:val="20"/>
        </w:rPr>
        <w:t xml:space="preserve">Source: https://www.kaggle.com/datasets/muhammadaammartufail/global-ecommerce-sales-and-customer-data</w:t>
      </w:r>
    </w:p>
    <w:p w14:paraId="00100008" w14:textId="00100009">
      <w:pPr>
        <w:spacing w:after="640"/>
        <w:jc w:val="center"/>
      </w:pPr>
      <w:r>
        <w:rPr>
          <w:color w:val="666666"/>
          <w:sz w:val="20"/>
        </w:rPr>
        <w:t xml:space="preserve">Technology Stack: Python 3.14  |  Streamlit 1.64  |  Pandas 3.0  |  Plotly 7.1</w:t>
      </w:r>
    </w:p>
    <w:p w14:paraId="0010000A" w14:textId="0010000B">
      <w:pPr>
        <w:pStyle w:val="Heading1"/>
        <w:spacing w:after="160"/>
      </w:pPr>
      <w:r>
        <w:rPr>
          <w:b/>
          <w:sz w:val="32"/>
        </w:rPr>
        <w:t xml:space="preserve">Table of Contents</w:t>
      </w:r>
    </w:p>
    <w:p w14:paraId="0010000C" w14:textId="0010000D">
      <w:pPr>
        <w:spacing w:after="80"/>
      </w:pPr>
      <w:r>
        <w:rPr>
          <w:sz w:val="22"/>
        </w:rPr>
        <w:t xml:space="preserve">1. Project Objective</w:t>
      </w:r>
    </w:p>
    <w:p w14:paraId="0010000E" w14:textId="0010000F">
      <w:pPr>
        <w:spacing w:after="80"/>
      </w:pPr>
      <w:r>
        <w:rPr>
          <w:sz w:val="22"/>
        </w:rPr>
        <w:t xml:space="preserve">2. Dataset Overview</w:t>
      </w:r>
    </w:p>
    <w:p w14:paraId="00100010" w14:textId="00100011">
      <w:pPr>
        <w:spacing w:after="80"/>
      </w:pPr>
      <w:r>
        <w:rPr>
          <w:sz w:val="22"/>
        </w:rPr>
        <w:t xml:space="preserve">3. Business Questions Addressed</w:t>
      </w:r>
    </w:p>
    <w:p w14:paraId="00100012" w14:textId="00100013">
      <w:pPr>
        <w:spacing w:after="80"/>
      </w:pPr>
      <w:r>
        <w:rPr>
          <w:sz w:val="22"/>
        </w:rPr>
        <w:t xml:space="preserve">4. Section I — Key Performance Indicators (KPIs)</w:t>
      </w:r>
    </w:p>
    <w:p w14:paraId="00100014" w14:textId="00100015">
      <w:pPr>
        <w:spacing w:after="80"/>
      </w:pPr>
      <w:r>
        <w:rPr>
          <w:sz w:val="22"/>
        </w:rPr>
        <w:t xml:space="preserve">5. Section II — Trends Analysis</w:t>
      </w:r>
    </w:p>
    <w:p w14:paraId="00100016" w14:textId="00100017">
      <w:pPr>
        <w:spacing w:after="80"/>
      </w:pPr>
      <w:r>
        <w:rPr>
          <w:sz w:val="22"/>
        </w:rPr>
        <w:t xml:space="preserve">6. Section III — Performance Drivers</w:t>
      </w:r>
    </w:p>
    <w:p w14:paraId="00100018" w14:textId="00100019">
      <w:pPr>
        <w:spacing w:after="80"/>
      </w:pPr>
      <w:r>
        <w:rPr>
          <w:sz w:val="22"/>
        </w:rPr>
        <w:t xml:space="preserve">7. Section IV — Risks and Opportunities</w:t>
      </w:r>
    </w:p>
    <w:p w14:paraId="0010001A" w14:textId="0010001B">
      <w:pPr>
        <w:spacing w:after="80"/>
      </w:pPr>
      <w:r>
        <w:rPr>
          <w:sz w:val="22"/>
        </w:rPr>
        <w:t xml:space="preserve">8. Section V — Management Actions</w:t>
      </w:r>
    </w:p>
    <w:p w14:paraId="0010001C" w14:textId="0010001D">
      <w:pPr>
        <w:spacing w:after="80"/>
      </w:pPr>
      <w:r>
        <w:rPr>
          <w:sz w:val="22"/>
        </w:rPr>
        <w:t xml:space="preserve">9. Technology Stack</w:t>
      </w:r>
    </w:p>
    <w:p w14:paraId="0010001E" w14:textId="0010001F">
      <w:pPr>
        <w:spacing w:after="480"/>
      </w:pPr>
      <w:r>
        <w:rPr>
          <w:sz w:val="22"/>
        </w:rPr>
        <w:t xml:space="preserve">10. Dashboard UI Overview</w:t>
      </w:r>
    </w:p>
    <w:p w14:paraId="00100020" w14:textId="00100021">
      <w:pPr>
        <w:pStyle w:val="Heading1"/>
        <w:spacing w:before="320" w:after="160"/>
      </w:pPr>
      <w:r>
        <w:rPr>
          <w:b/>
          <w:sz w:val="36"/>
        </w:rPr>
        <w:t xml:space="preserve">1. Project Objective</w:t>
      </w:r>
    </w:p>
    <w:p w14:paraId="00100022" w14:textId="00100023">
      <w:pPr>
        <w:spacing w:after="160"/>
      </w:pPr>
      <w:r>
        <w:rPr>
          <w:sz w:val="22"/>
        </w:rPr>
        <w:t xml:space="preserve">This project delivers a full-stack, interactive Business Intelligence (BI) dashboard for an e-commerce business, built entirely in Python. The dashboard enables management to monitor business performance, identify trends, understand performance drivers, surface risks and opportunities, and take data-driven actions — all through a single, filterable web interface.</w:t>
      </w:r>
    </w:p>
    <w:p w14:paraId="00100024" w14:textId="00100025">
      <w:pPr>
        <w:spacing w:after="160"/>
      </w:pPr>
      <w:r>
        <w:rPr>
          <w:sz w:val="22"/>
        </w:rPr>
        <w:t xml:space="preserve">The application was built using Streamlit as the web framework, Pandas for all data processing, and Plotly for interactive visualisations. The underlying dataset contains 2,000 real transaction records spanning three full calendar years (2023–2025) across 20 countries, 5 global regions, 4 product categories, 3 customer segments, and 4 payment methods.</w:t>
      </w:r>
    </w:p>
    <w:p w14:paraId="00100026" w14:textId="00100027">
      <w:pPr>
        <w:spacing w:after="320"/>
      </w:pPr>
      <w:r>
        <w:rPr>
          <w:sz w:val="22"/>
        </w:rPr>
        <w:t xml:space="preserve">The dashboard is structured around five management-oriented BI pillars: KPIs (what is happening), Trends (where are we heading), Drivers (why is performance changing), Risks &amp; Opportunities (where to act), and Management Actions (what to do next). Every visualisation directly supports one of these five pillars.</w:t>
      </w:r>
    </w:p>
    <w:p w14:paraId="00100028" w14:textId="00100029">
      <w:pPr>
        <w:pStyle w:val="Heading1"/>
        <w:spacing w:before="320" w:after="160"/>
      </w:pPr>
      <w:r>
        <w:rPr>
          <w:b/>
          <w:sz w:val="36"/>
        </w:rPr>
        <w:t xml:space="preserve">2. Dataset Overview</w:t>
      </w:r>
    </w:p>
    <w:p w14:paraId="0010002A" w14:textId="0010002B">
      <w:pPr>
        <w:spacing w:after="160"/>
      </w:pPr>
      <w:r>
        <w:rPr>
          <w:sz w:val="22"/>
        </w:rPr>
        <w:t xml:space="preserve">The dataset global_ecommerce_sales.csv contains 2,000 order records with 15 fields. All calculations in the dashboard are derived exclusively from these fields — no data was invented or imputed.</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2C" w14:textId="0010002D">
            <w:r>
              <w:t xml:space="preserve">Field Name</w:t>
            </w:r>
          </w:p>
        </w:tc>
        <w:tc>
          <w:p w14:paraId="0010002E" w14:textId="0010002F">
            <w:r>
              <w:t xml:space="preserve">Type</w:t>
            </w:r>
          </w:p>
        </w:tc>
        <w:tc>
          <w:p w14:paraId="00100030" w14:textId="00100031">
            <w:r>
              <w:t xml:space="preserve">Description</w:t>
            </w:r>
          </w:p>
        </w:tc>
      </w:tr>
      <w:tr>
        <w:trPr/>
        <w:tc>
          <w:p w14:paraId="00100032" w14:textId="00100033">
            <w:r>
              <w:t xml:space="preserve">Order_ID</w:t>
            </w:r>
          </w:p>
        </w:tc>
        <w:tc>
          <w:p w14:paraId="00100034" w14:textId="00100035">
            <w:r>
              <w:t xml:space="preserve">Text</w:t>
            </w:r>
          </w:p>
        </w:tc>
        <w:tc>
          <w:p w14:paraId="00100036" w14:textId="00100037">
            <w:r>
              <w:t xml:space="preserve">Unique order identifier</w:t>
            </w:r>
          </w:p>
        </w:tc>
      </w:tr>
      <w:tr>
        <w:trPr/>
        <w:tc>
          <w:p w14:paraId="00100038" w14:textId="00100039">
            <w:r>
              <w:t xml:space="preserve">Order_Date</w:t>
            </w:r>
          </w:p>
        </w:tc>
        <w:tc>
          <w:p w14:paraId="0010003A" w14:textId="0010003B">
            <w:r>
              <w:t xml:space="preserve">Date</w:t>
            </w:r>
          </w:p>
        </w:tc>
        <w:tc>
          <w:p w14:paraId="0010003C" w14:textId="0010003D">
            <w:r>
              <w:t xml:space="preserve">Date the order was placed (2023-01-02 to 2025-12-31)</w:t>
            </w:r>
          </w:p>
        </w:tc>
      </w:tr>
      <w:tr>
        <w:trPr/>
        <w:tc>
          <w:p w14:paraId="0010003E" w14:textId="0010003F">
            <w:r>
              <w:t xml:space="preserve">Customer_Name</w:t>
            </w:r>
          </w:p>
        </w:tc>
        <w:tc>
          <w:p w14:paraId="00100040" w14:textId="00100041">
            <w:r>
              <w:t xml:space="preserve">Text</w:t>
            </w:r>
          </w:p>
        </w:tc>
        <w:tc>
          <w:p w14:paraId="00100042" w14:textId="00100043">
            <w:r>
              <w:t xml:space="preserve">Customer full name</w:t>
            </w:r>
          </w:p>
        </w:tc>
      </w:tr>
      <w:tr>
        <w:trPr/>
        <w:tc>
          <w:p w14:paraId="00100044" w14:textId="00100045">
            <w:r>
              <w:t xml:space="preserve">Customer_Segment</w:t>
            </w:r>
          </w:p>
        </w:tc>
        <w:tc>
          <w:p w14:paraId="00100046" w14:textId="00100047">
            <w:r>
              <w:t xml:space="preserve">Categorical</w:t>
            </w:r>
          </w:p>
        </w:tc>
        <w:tc>
          <w:p w14:paraId="00100048" w14:textId="00100049">
            <w:r>
              <w:t xml:space="preserve">Consumer / Corporate / Home Office</w:t>
            </w:r>
          </w:p>
        </w:tc>
      </w:tr>
      <w:tr>
        <w:trPr/>
        <w:tc>
          <w:p w14:paraId="0010004A" w14:textId="0010004B">
            <w:r>
              <w:t xml:space="preserve">Country</w:t>
            </w:r>
          </w:p>
        </w:tc>
        <w:tc>
          <w:p w14:paraId="0010004C" w14:textId="0010004D">
            <w:r>
              <w:t xml:space="preserve">Categorical</w:t>
            </w:r>
          </w:p>
        </w:tc>
        <w:tc>
          <w:p w14:paraId="0010004E" w14:textId="0010004F">
            <w:r>
              <w:t xml:space="preserve">20 countries across 5 global regions</w:t>
            </w:r>
          </w:p>
        </w:tc>
      </w:tr>
      <w:tr>
        <w:trPr/>
        <w:tc>
          <w:p w14:paraId="00100050" w14:textId="00100051">
            <w:r>
              <w:t xml:space="preserve">Region</w:t>
            </w:r>
          </w:p>
        </w:tc>
        <w:tc>
          <w:p w14:paraId="00100052" w14:textId="00100053">
            <w:r>
              <w:t xml:space="preserve">Categorical</w:t>
            </w:r>
          </w:p>
        </w:tc>
        <w:tc>
          <w:p w14:paraId="00100054" w14:textId="00100055">
            <w:r>
              <w:t xml:space="preserve">Asia Pacific / Europe / Middle East &amp; Africa / North America / South America</w:t>
            </w:r>
          </w:p>
        </w:tc>
      </w:tr>
      <w:tr>
        <w:trPr/>
        <w:tc>
          <w:p w14:paraId="00100056" w14:textId="00100057">
            <w:r>
              <w:t xml:space="preserve">Product_Category</w:t>
            </w:r>
          </w:p>
        </w:tc>
        <w:tc>
          <w:p w14:paraId="00100058" w14:textId="00100059">
            <w:r>
              <w:t xml:space="preserve">Categorical</w:t>
            </w:r>
          </w:p>
        </w:tc>
        <w:tc>
          <w:p w14:paraId="0010005A" w14:textId="0010005B">
            <w:r>
              <w:t xml:space="preserve">Technology / Furniture / Office Supplies / Clothing &amp; Accessories</w:t>
            </w:r>
          </w:p>
        </w:tc>
      </w:tr>
      <w:tr>
        <w:trPr/>
        <w:tc>
          <w:p w14:paraId="0010005C" w14:textId="0010005D">
            <w:r>
              <w:t xml:space="preserve">Product_Name</w:t>
            </w:r>
          </w:p>
        </w:tc>
        <w:tc>
          <w:p w14:paraId="0010005E" w14:textId="0010005F">
            <w:r>
              <w:t xml:space="preserve">Text</w:t>
            </w:r>
          </w:p>
        </w:tc>
        <w:tc>
          <w:p w14:paraId="00100060" w14:textId="00100061">
            <w:r>
              <w:t xml:space="preserve">Individual product name (40 unique products)</w:t>
            </w:r>
          </w:p>
        </w:tc>
      </w:tr>
      <w:tr>
        <w:trPr/>
        <w:tc>
          <w:p w14:paraId="00100062" w14:textId="00100063">
            <w:r>
              <w:t xml:space="preserve">Quantity</w:t>
            </w:r>
          </w:p>
        </w:tc>
        <w:tc>
          <w:p w14:paraId="00100064" w14:textId="00100065">
            <w:r>
              <w:t xml:space="preserve">Numeric</w:t>
            </w:r>
          </w:p>
        </w:tc>
        <w:tc>
          <w:p w14:paraId="00100066" w14:textId="00100067">
            <w:r>
              <w:t xml:space="preserve">Units ordered per transaction</w:t>
            </w:r>
          </w:p>
        </w:tc>
      </w:tr>
      <w:tr>
        <w:trPr/>
        <w:tc>
          <w:p w14:paraId="00100068" w14:textId="00100069">
            <w:r>
              <w:t xml:space="preserve">Unit_Price</w:t>
            </w:r>
          </w:p>
        </w:tc>
        <w:tc>
          <w:p w14:paraId="0010006A" w14:textId="0010006B">
            <w:r>
              <w:t xml:space="preserve">Numeric (USD)</w:t>
            </w:r>
          </w:p>
        </w:tc>
        <w:tc>
          <w:p w14:paraId="0010006C" w14:textId="0010006D">
            <w:r>
              <w:t xml:space="preserve">Price per unit before discount</w:t>
            </w:r>
          </w:p>
        </w:tc>
      </w:tr>
      <w:tr>
        <w:trPr/>
        <w:tc>
          <w:p w14:paraId="0010006E" w14:textId="0010006F">
            <w:r>
              <w:t xml:space="preserve">Discount_Percent</w:t>
            </w:r>
          </w:p>
        </w:tc>
        <w:tc>
          <w:p w14:paraId="00100070" w14:textId="00100071">
            <w:r>
              <w:t xml:space="preserve">Numeric (%)</w:t>
            </w:r>
          </w:p>
        </w:tc>
        <w:tc>
          <w:p w14:paraId="00100072" w14:textId="00100073">
            <w:r>
              <w:t xml:space="preserve">Discount applied: 0% to 30%</w:t>
            </w:r>
          </w:p>
        </w:tc>
      </w:tr>
      <w:tr>
        <w:trPr/>
        <w:tc>
          <w:p w14:paraId="00100074" w14:textId="00100075">
            <w:r>
              <w:t xml:space="preserve">Total_Sales</w:t>
            </w:r>
          </w:p>
        </w:tc>
        <w:tc>
          <w:p w14:paraId="00100076" w14:textId="00100077">
            <w:r>
              <w:t xml:space="preserve">Numeric (USD)</w:t>
            </w:r>
          </w:p>
        </w:tc>
        <w:tc>
          <w:p w14:paraId="00100078" w14:textId="00100079">
            <w:r>
              <w:t xml:space="preserve">Revenue after discount applied</w:t>
            </w:r>
          </w:p>
        </w:tc>
      </w:tr>
      <w:tr>
        <w:trPr/>
        <w:tc>
          <w:p w14:paraId="0010007A" w14:textId="0010007B">
            <w:r>
              <w:t xml:space="preserve">Shipping_Cost</w:t>
            </w:r>
          </w:p>
        </w:tc>
        <w:tc>
          <w:p w14:paraId="0010007C" w14:textId="0010007D">
            <w:r>
              <w:t xml:space="preserve">Numeric (USD)</w:t>
            </w:r>
          </w:p>
        </w:tc>
        <w:tc>
          <w:p w14:paraId="0010007E" w14:textId="0010007F">
            <w:r>
              <w:t xml:space="preserve">Shipping cost charged for the order</w:t>
            </w:r>
          </w:p>
        </w:tc>
      </w:tr>
      <w:tr>
        <w:trPr/>
        <w:tc>
          <w:p w14:paraId="00100080" w14:textId="00100081">
            <w:r>
              <w:t xml:space="preserve">Profit</w:t>
            </w:r>
          </w:p>
        </w:tc>
        <w:tc>
          <w:p w14:paraId="00100082" w14:textId="00100083">
            <w:r>
              <w:t xml:space="preserve">Numeric (USD)</w:t>
            </w:r>
          </w:p>
        </w:tc>
        <w:tc>
          <w:p w14:paraId="00100084" w14:textId="00100085">
            <w:r>
              <w:t xml:space="preserve">Profit recorded for the order</w:t>
            </w:r>
          </w:p>
        </w:tc>
      </w:tr>
      <w:tr>
        <w:trPr/>
        <w:tc>
          <w:p w14:paraId="00100086" w14:textId="00100087">
            <w:r>
              <w:t xml:space="preserve">Payment_Method</w:t>
            </w:r>
          </w:p>
        </w:tc>
        <w:tc>
          <w:p w14:paraId="00100088" w14:textId="00100089">
            <w:r>
              <w:t xml:space="preserve">Categorical</w:t>
            </w:r>
          </w:p>
        </w:tc>
        <w:tc>
          <w:p w14:paraId="0010008A" w14:textId="0010008B">
            <w:r>
              <w:t xml:space="preserve">Bank Transfer / Cash on Delivery / Credit Card / PayPal</w:t>
            </w:r>
          </w:p>
        </w:tc>
      </w:tr>
    </w:tbl>
    <w:p w14:paraId="0010008C" w14:textId="0010008D">
      <w:pPr>
        <w:pStyle w:val="Heading1"/>
        <w:spacing w:before="320" w:after="160"/>
      </w:pPr>
      <w:r>
        <w:rPr>
          <w:b/>
          <w:sz w:val="36"/>
        </w:rPr>
        <w:t xml:space="preserve">3. Business Questions Addressed</w:t>
      </w:r>
    </w:p>
    <w:p w14:paraId="0010008E" w14:textId="0010008F">
      <w:pPr>
        <w:spacing w:after="120"/>
      </w:pPr>
      <w:r>
        <w:rPr>
          <w:sz w:val="22"/>
        </w:rPr>
        <w:t xml:space="preserve">The dashboard was designed to answer the following core business intelligence questions:</w:t>
      </w:r>
    </w:p>
    <w:p w14:paraId="00100090" w14:textId="00100091">
      <w:pPr>
        <w:numPr>
          <w:ilvl w:val="0"/>
          <w:numId w:val="1"/>
        </w:numPr>
        <w:spacing w:after="80"/>
      </w:pPr>
      <w:r>
        <w:rPr>
          <w:sz w:val="22"/>
        </w:rPr>
        <w:t xml:space="preserve">What is the overall financial performance of the business? (Total Sales, Profit, Margin)</w:t>
      </w:r>
    </w:p>
    <w:p w14:paraId="00100092" w14:textId="00100093">
      <w:pPr>
        <w:numPr>
          <w:ilvl w:val="0"/>
          <w:numId w:val="1"/>
        </w:numPr>
        <w:spacing w:after="80"/>
      </w:pPr>
      <w:r>
        <w:rPr>
          <w:sz w:val="22"/>
        </w:rPr>
        <w:t xml:space="preserve">How is performance trending month-on-month across 36 months?</w:t>
      </w:r>
    </w:p>
    <w:p w14:paraId="00100094" w14:textId="00100095">
      <w:pPr>
        <w:numPr>
          <w:ilvl w:val="0"/>
          <w:numId w:val="1"/>
        </w:numPr>
        <w:spacing w:after="80"/>
      </w:pPr>
      <w:r>
        <w:rPr>
          <w:sz w:val="22"/>
        </w:rPr>
        <w:t xml:space="preserve">Which regions, countries, product categories, and customer segments are driving performance?</w:t>
      </w:r>
    </w:p>
    <w:p w14:paraId="00100096" w14:textId="00100097">
      <w:pPr>
        <w:numPr>
          <w:ilvl w:val="0"/>
          <w:numId w:val="1"/>
        </w:numPr>
        <w:spacing w:after="80"/>
      </w:pPr>
      <w:r>
        <w:rPr>
          <w:sz w:val="22"/>
        </w:rPr>
        <w:t xml:space="preserve">Which products are the top performers by revenue and profit?</w:t>
      </w:r>
    </w:p>
    <w:p w14:paraId="00100098" w14:textId="00100099">
      <w:pPr>
        <w:numPr>
          <w:ilvl w:val="0"/>
          <w:numId w:val="1"/>
        </w:numPr>
        <w:spacing w:after="80"/>
      </w:pPr>
      <w:r>
        <w:rPr>
          <w:sz w:val="22"/>
        </w:rPr>
        <w:t xml:space="preserve">How do discount levels affect profitability?</w:t>
      </w:r>
    </w:p>
    <w:p w14:paraId="0010009A" w14:textId="0010009B">
      <w:pPr>
        <w:numPr>
          <w:ilvl w:val="0"/>
          <w:numId w:val="1"/>
        </w:numPr>
        <w:spacing w:after="80"/>
      </w:pPr>
      <w:r>
        <w:rPr>
          <w:sz w:val="22"/>
        </w:rPr>
        <w:t xml:space="preserve">Which markets have disproportionately high shipping costs?</w:t>
      </w:r>
    </w:p>
    <w:p w14:paraId="0010009C" w14:textId="0010009D">
      <w:pPr>
        <w:numPr>
          <w:ilvl w:val="0"/>
          <w:numId w:val="1"/>
        </w:numPr>
        <w:spacing w:after="80"/>
      </w:pPr>
      <w:r>
        <w:rPr>
          <w:sz w:val="22"/>
        </w:rPr>
        <w:t xml:space="preserve">Which products or categories carry the greatest margin risk?</w:t>
      </w:r>
    </w:p>
    <w:p w14:paraId="0010009E" w14:textId="0010009F">
      <w:pPr>
        <w:numPr>
          <w:ilvl w:val="0"/>
          <w:numId w:val="1"/>
        </w:numPr>
        <w:spacing w:after="320"/>
      </w:pPr>
      <w:r>
        <w:rPr>
          <w:sz w:val="22"/>
        </w:rPr>
        <w:t xml:space="preserve">What specific management actions are supported by the data?</w:t>
      </w:r>
    </w:p>
    <w:p w14:paraId="001000A0" w14:textId="001000A1">
      <w:pPr>
        <w:pStyle w:val="Heading1"/>
        <w:spacing w:before="320" w:after="160"/>
      </w:pPr>
      <w:r>
        <w:rPr>
          <w:b/>
          <w:sz w:val="36"/>
        </w:rPr>
        <w:t xml:space="preserve">4. Section I — Key Performance Indicators (KPIs)</w:t>
      </w:r>
    </w:p>
    <w:p w14:paraId="001000A2" w14:textId="001000A3">
      <w:pPr>
        <w:spacing w:after="200"/>
      </w:pPr>
      <w:r>
        <w:rPr>
          <w:sz w:val="22"/>
        </w:rPr>
        <w:t xml:space="preserve">The KPI section provides a snapshot of the business at the top of the dashboard. Six KPI cards are displayed, each updating dynamically based on the active sidebar filters (date range, region, country, product category, customer segment, payment method).</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A4" w14:textId="001000A5">
            <w:r>
              <w:t xml:space="preserve">KPI</w:t>
            </w:r>
          </w:p>
        </w:tc>
        <w:tc>
          <w:p w14:paraId="001000A6" w14:textId="001000A7">
            <w:r>
              <w:t xml:space="preserve">Full-Dataset Value</w:t>
            </w:r>
          </w:p>
        </w:tc>
        <w:tc>
          <w:p w14:paraId="001000A8" w14:textId="001000A9">
            <w:r>
              <w:t xml:space="preserve">Business Meaning</w:t>
            </w:r>
          </w:p>
        </w:tc>
      </w:tr>
      <w:tr>
        <w:trPr/>
        <w:tc>
          <w:p w14:paraId="001000AA" w14:textId="001000AB">
            <w:r>
              <w:t xml:space="preserve">Total Sales</w:t>
            </w:r>
          </w:p>
        </w:tc>
        <w:tc>
          <w:p w14:paraId="001000AC" w14:textId="001000AD">
            <w:r>
              <w:t xml:space="preserve">$484,559.34</w:t>
            </w:r>
          </w:p>
        </w:tc>
        <w:tc>
          <w:p w14:paraId="001000AE" w14:textId="001000AF">
            <w:r>
              <w:t xml:space="preserve">Total revenue from all 2,000 orders after discounts</w:t>
            </w:r>
          </w:p>
        </w:tc>
      </w:tr>
      <w:tr>
        <w:trPr/>
        <w:tc>
          <w:p w14:paraId="001000B0" w14:textId="001000B1">
            <w:r>
              <w:t xml:space="preserve">Total Profit</w:t>
            </w:r>
          </w:p>
        </w:tc>
        <w:tc>
          <w:p w14:paraId="001000B2" w14:textId="001000B3">
            <w:r>
              <w:t xml:space="preserve">$158,872.32</w:t>
            </w:r>
          </w:p>
        </w:tc>
        <w:tc>
          <w:p w14:paraId="001000B4" w14:textId="001000B5">
            <w:r>
              <w:t xml:space="preserve">Aggregate profit recorded across all orders</w:t>
            </w:r>
          </w:p>
        </w:tc>
      </w:tr>
      <w:tr>
        <w:trPr/>
        <w:tc>
          <w:p w14:paraId="001000B6" w14:textId="001000B7">
            <w:r>
              <w:t xml:space="preserve">Total Orders</w:t>
            </w:r>
          </w:p>
        </w:tc>
        <w:tc>
          <w:p w14:paraId="001000B8" w14:textId="001000B9">
            <w:r>
              <w:t xml:space="preserve">2,000</w:t>
            </w:r>
          </w:p>
        </w:tc>
        <w:tc>
          <w:p w14:paraId="001000BA" w14:textId="001000BB">
            <w:r>
              <w:t xml:space="preserve">Count of unique orders placed</w:t>
            </w:r>
          </w:p>
        </w:tc>
      </w:tr>
      <w:tr>
        <w:trPr/>
        <w:tc>
          <w:p w14:paraId="001000BC" w14:textId="001000BD">
            <w:r>
              <w:t xml:space="preserve">Total Quantity Sold</w:t>
            </w:r>
          </w:p>
        </w:tc>
        <w:tc>
          <w:p w14:paraId="001000BE" w14:textId="001000BF">
            <w:r>
              <w:t xml:space="preserve">7,115</w:t>
            </w:r>
          </w:p>
        </w:tc>
        <w:tc>
          <w:p w14:paraId="001000C0" w14:textId="001000C1">
            <w:r>
              <w:t xml:space="preserve">Total units shipped across all orders</w:t>
            </w:r>
          </w:p>
        </w:tc>
      </w:tr>
      <w:tr>
        <w:trPr/>
        <w:tc>
          <w:p w14:paraId="001000C2" w14:textId="001000C3">
            <w:r>
              <w:t xml:space="preserve">Average Order Value</w:t>
            </w:r>
          </w:p>
        </w:tc>
        <w:tc>
          <w:p w14:paraId="001000C4" w14:textId="001000C5">
            <w:r>
              <w:t xml:space="preserve">$242.28</w:t>
            </w:r>
          </w:p>
        </w:tc>
        <w:tc>
          <w:p w14:paraId="001000C6" w14:textId="001000C7">
            <w:r>
              <w:t xml:space="preserve">Mean revenue per order (Total Sales / Total Orders)</w:t>
            </w:r>
          </w:p>
        </w:tc>
      </w:tr>
      <w:tr>
        <w:trPr/>
        <w:tc>
          <w:p w14:paraId="001000C8" w14:textId="001000C9">
            <w:r>
              <w:t xml:space="preserve">Profit Margin</w:t>
            </w:r>
          </w:p>
        </w:tc>
        <w:tc>
          <w:p w14:paraId="001000CA" w14:textId="001000CB">
            <w:r>
              <w:t xml:space="preserve">32.8%</w:t>
            </w:r>
          </w:p>
        </w:tc>
        <w:tc>
          <w:p w14:paraId="001000CC" w14:textId="001000CD">
            <w:r>
              <w:t xml:space="preserve">Net profit as a percentage of total sales</w:t>
            </w:r>
          </w:p>
        </w:tc>
      </w:tr>
    </w:tbl>
    <w:p w14:paraId="001000CE" w14:textId="001000CF">
      <w:pPr>
        <w:spacing w:before="200" w:after="320"/>
      </w:pPr>
      <w:r>
        <w:rPr>
          <w:sz w:val="22"/>
        </w:rPr>
        <w:t xml:space="preserve">The overall profit margin of 32.8% is healthy for a diversified e-commerce business, reflecting a strong balance between revenue volume and profitability. The average order value of $242.28 is consistent with a product mix that includes high-ticket Furniture and Technology items.</w:t>
      </w:r>
    </w:p>
    <w:p w14:paraId="001000D0" w14:textId="001000D1">
      <w:pPr>
        <w:pStyle w:val="Heading1"/>
        <w:spacing w:before="320" w:after="160"/>
      </w:pPr>
      <w:r>
        <w:rPr>
          <w:b/>
          <w:sz w:val="36"/>
        </w:rPr>
        <w:t xml:space="preserve">5. Section II — Trends Analysis</w:t>
      </w:r>
    </w:p>
    <w:p w14:paraId="001000D2" w14:textId="001000D3">
      <w:pPr>
        <w:spacing w:after="160"/>
      </w:pPr>
      <w:r>
        <w:rPr>
          <w:sz w:val="22"/>
        </w:rPr>
        <w:t xml:space="preserve">The Trends section provides two interactive charts covering 36 months of data (January 2023 to December 2025).</w:t>
      </w:r>
    </w:p>
    <w:p w14:paraId="001000D4" w14:textId="001000D5">
      <w:pPr>
        <w:pStyle w:val="Heading2"/>
        <w:spacing w:before="200" w:after="120"/>
      </w:pPr>
      <w:r>
        <w:rPr>
          <w:b/>
          <w:sz w:val="28"/>
        </w:rPr>
        <w:t xml:space="preserve">Chart 1: Monthly Sales vs Profit (Line Chart)</w:t>
      </w:r>
    </w:p>
    <w:p w14:paraId="001000D6" w14:textId="001000D7">
      <w:pPr>
        <w:spacing w:after="160"/>
      </w:pPr>
      <w:r>
        <w:rPr>
          <w:sz w:val="22"/>
        </w:rPr>
        <w:t xml:space="preserve">A dual-line chart plots Total Sales (blue) and Total Profit (green dashed) for each calendar month. The 36-month view spans the complete dataset period. The best-performing month was June 2025 with $18,068 in sales. The weakest month was February 2025 at $7,337.</w:t>
      </w:r>
    </w:p>
    <w:p w14:paraId="001000D8" w14:textId="001000D9">
      <w:pPr>
        <w:pStyle w:val="Heading2"/>
        <w:spacing w:before="200" w:after="120"/>
      </w:pPr>
      <w:r>
        <w:rPr>
          <w:b/>
          <w:sz w:val="28"/>
        </w:rPr>
        <w:t xml:space="preserve">Chart 2: Monthly Order Volume &amp; Profit Margin % (Bar + Line Combo)</w:t>
      </w:r>
    </w:p>
    <w:p w14:paraId="001000DA" w14:textId="001000DB">
      <w:pPr>
        <w:spacing w:after="160"/>
      </w:pPr>
      <w:r>
        <w:rPr>
          <w:sz w:val="22"/>
        </w:rPr>
        <w:t xml:space="preserve">A combination chart displays monthly order volume as bars (amber) on the primary axis, with the Profit Margin % overlaid as a line (red) on a secondary axis. This allows management to immediately identify months where high order volumes were accompanied by compressed margins — a key risk signal.</w:t>
      </w:r>
    </w:p>
    <w:p w14:paraId="001000DC" w14:textId="001000DD">
      <w:pPr>
        <w:spacing w:after="320"/>
      </w:pPr>
      <w:r>
        <w:rPr>
          <w:sz w:val="22"/>
        </w:rPr>
        <w:t xml:space="preserve">Both charts are fully interactive (hover tooltips, zoom, pan) and update in real time when sidebar filters are applied.</w:t>
      </w:r>
    </w:p>
    <w:p w14:paraId="001000DE" w14:textId="001000DF">
      <w:pPr>
        <w:pStyle w:val="Heading1"/>
        <w:spacing w:before="320" w:after="160"/>
      </w:pPr>
      <w:r>
        <w:rPr>
          <w:b/>
          <w:sz w:val="36"/>
        </w:rPr>
        <w:t xml:space="preserve">6. Section III — Performance Drivers</w:t>
      </w:r>
    </w:p>
    <w:p w14:paraId="001000E0" w14:textId="001000E1">
      <w:pPr>
        <w:spacing w:after="200"/>
      </w:pPr>
      <w:r>
        <w:rPr>
          <w:sz w:val="22"/>
        </w:rPr>
        <w:t xml:space="preserve">This section identifies the key drivers behind overall sales and profit performance, broken down by Region, Country, Product Category, individual Products, Customer Segment, and Payment Method.</w:t>
      </w:r>
    </w:p>
    <w:p w14:paraId="001000E2" w14:textId="001000E3">
      <w:pPr>
        <w:pStyle w:val="Heading2"/>
        <w:spacing w:before="200" w:after="120"/>
      </w:pPr>
      <w:r>
        <w:rPr>
          <w:b/>
          <w:sz w:val="28"/>
        </w:rPr>
        <w:t xml:space="preserve">6.1 Regional Performance</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E4" w14:textId="001000E5">
            <w:r>
              <w:t xml:space="preserve">Region</w:t>
            </w:r>
          </w:p>
        </w:tc>
        <w:tc>
          <w:p w14:paraId="001000E6" w14:textId="001000E7">
            <w:r>
              <w:t xml:space="preserve">Total Sales ($)</w:t>
            </w:r>
          </w:p>
        </w:tc>
        <w:tc>
          <w:p w14:paraId="001000E8" w14:textId="001000E9">
            <w:r>
              <w:t xml:space="preserve">Total Profit ($)</w:t>
            </w:r>
          </w:p>
        </w:tc>
        <w:tc>
          <w:p w14:paraId="001000EA" w14:textId="001000EB">
            <w:r>
              <w:t xml:space="preserve">Profit Margin (%)</w:t>
            </w:r>
          </w:p>
        </w:tc>
      </w:tr>
      <w:tr>
        <w:trPr/>
        <w:tc>
          <w:p w14:paraId="001000EC" w14:textId="001000ED">
            <w:r>
              <w:t xml:space="preserve">Europe</w:t>
            </w:r>
          </w:p>
        </w:tc>
        <w:tc>
          <w:p w14:paraId="001000EE" w14:textId="001000EF">
            <w:r>
              <w:t xml:space="preserve">137,006</w:t>
            </w:r>
          </w:p>
        </w:tc>
        <w:tc>
          <w:p w14:paraId="001000F0" w14:textId="001000F1">
            <w:r>
              <w:t xml:space="preserve">45,672</w:t>
            </w:r>
          </w:p>
        </w:tc>
        <w:tc>
          <w:p w14:paraId="001000F2" w14:textId="001000F3">
            <w:r>
              <w:t xml:space="preserve">33.3%</w:t>
            </w:r>
          </w:p>
        </w:tc>
      </w:tr>
      <w:tr>
        <w:trPr/>
        <w:tc>
          <w:p w14:paraId="001000F4" w14:textId="001000F5">
            <w:r>
              <w:t xml:space="preserve">North America</w:t>
            </w:r>
          </w:p>
        </w:tc>
        <w:tc>
          <w:p w14:paraId="001000F6" w14:textId="001000F7">
            <w:r>
              <w:t xml:space="preserve">133,876</w:t>
            </w:r>
          </w:p>
        </w:tc>
        <w:tc>
          <w:p w14:paraId="001000F8" w14:textId="001000F9">
            <w:r>
              <w:t xml:space="preserve">45,250</w:t>
            </w:r>
          </w:p>
        </w:tc>
        <w:tc>
          <w:p w14:paraId="001000FA" w14:textId="001000FB">
            <w:r>
              <w:t xml:space="preserve">33.8%</w:t>
            </w:r>
          </w:p>
        </w:tc>
      </w:tr>
      <w:tr>
        <w:trPr/>
        <w:tc>
          <w:p w14:paraId="001000FC" w14:textId="001000FD">
            <w:r>
              <w:t xml:space="preserve">Asia Pacific</w:t>
            </w:r>
          </w:p>
        </w:tc>
        <w:tc>
          <w:p w14:paraId="001000FE" w14:textId="001000FF">
            <w:r>
              <w:t xml:space="preserve">121,708</w:t>
            </w:r>
          </w:p>
        </w:tc>
        <w:tc>
          <w:p w14:paraId="00100100" w14:textId="00100101">
            <w:r>
              <w:t xml:space="preserve">39,117</w:t>
            </w:r>
          </w:p>
        </w:tc>
        <w:tc>
          <w:p w14:paraId="00100102" w14:textId="00100103">
            <w:r>
              <w:t xml:space="preserve">32.1%</w:t>
            </w:r>
          </w:p>
        </w:tc>
      </w:tr>
      <w:tr>
        <w:trPr/>
        <w:tc>
          <w:p w14:paraId="00100104" w14:textId="00100105">
            <w:r>
              <w:t xml:space="preserve">South America</w:t>
            </w:r>
          </w:p>
        </w:tc>
        <w:tc>
          <w:p w14:paraId="00100106" w14:textId="00100107">
            <w:r>
              <w:t xml:space="preserve">46,051</w:t>
            </w:r>
          </w:p>
        </w:tc>
        <w:tc>
          <w:p w14:paraId="00100108" w14:textId="00100109">
            <w:r>
              <w:t xml:space="preserve">14,681</w:t>
            </w:r>
          </w:p>
        </w:tc>
        <w:tc>
          <w:p w14:paraId="0010010A" w14:textId="0010010B">
            <w:r>
              <w:t xml:space="preserve">31.9%</w:t>
            </w:r>
          </w:p>
        </w:tc>
      </w:tr>
      <w:tr>
        <w:trPr/>
        <w:tc>
          <w:p w14:paraId="0010010C" w14:textId="0010010D">
            <w:r>
              <w:t xml:space="preserve">Middle East &amp; Africa</w:t>
            </w:r>
          </w:p>
        </w:tc>
        <w:tc>
          <w:p w14:paraId="0010010E" w14:textId="0010010F">
            <w:r>
              <w:t xml:space="preserve">45,918</w:t>
            </w:r>
          </w:p>
        </w:tc>
        <w:tc>
          <w:p w14:paraId="00100110" w14:textId="00100111">
            <w:r>
              <w:t xml:space="preserve">14,152</w:t>
            </w:r>
          </w:p>
        </w:tc>
        <w:tc>
          <w:p w14:paraId="00100112" w14:textId="00100113">
            <w:r>
              <w:t xml:space="preserve">30.8%</w:t>
            </w:r>
          </w:p>
        </w:tc>
      </w:tr>
    </w:tbl>
    <w:p w14:paraId="00100114" w14:textId="00100115">
      <w:pPr>
        <w:spacing w:before="160" w:after="200"/>
      </w:pPr>
      <w:r>
        <w:rPr>
          <w:sz w:val="22"/>
        </w:rPr>
        <w:t xml:space="preserve">Europe leads in absolute sales ($137,006) while North America has the highest profit margin at 33.8%. Middle East &amp; Africa trails both in volume and margin at 30.8%, representing the greatest headroom for growth investment.</w:t>
      </w:r>
    </w:p>
    <w:p w14:paraId="00100116" w14:textId="00100117">
      <w:pPr>
        <w:pStyle w:val="Heading2"/>
        <w:spacing w:before="200" w:after="120"/>
      </w:pPr>
      <w:r>
        <w:rPr>
          <w:b/>
          <w:sz w:val="28"/>
        </w:rPr>
        <w:t xml:space="preserve">6.2 Top 5 Countries by Sales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118" w14:textId="00100119">
            <w:r>
              <w:t xml:space="preserve">Country</w:t>
            </w:r>
          </w:p>
        </w:tc>
        <w:tc>
          <w:p w14:paraId="0010011A" w14:textId="0010011B">
            <w:r>
              <w:t xml:space="preserve">Total Sales ($)</w:t>
            </w:r>
          </w:p>
        </w:tc>
        <w:tc>
          <w:p w14:paraId="0010011C" w14:textId="0010011D">
            <w:r>
              <w:t xml:space="preserve">Total Profit ($)</w:t>
            </w:r>
          </w:p>
        </w:tc>
        <w:tc>
          <w:p w14:paraId="0010011E" w14:textId="0010011F">
            <w:r>
              <w:t xml:space="preserve">Profit Margin (%)</w:t>
            </w:r>
          </w:p>
        </w:tc>
      </w:tr>
      <w:tr>
        <w:trPr/>
        <w:tc>
          <w:p w14:paraId="00100120" w14:textId="00100121">
            <w:r>
              <w:t xml:space="preserve">Mexico</w:t>
            </w:r>
          </w:p>
        </w:tc>
        <w:tc>
          <w:p w14:paraId="00100122" w14:textId="00100123">
            <w:r>
              <w:t xml:space="preserve">47,217</w:t>
            </w:r>
          </w:p>
        </w:tc>
        <w:tc>
          <w:p w14:paraId="00100124" w14:textId="00100125">
            <w:r>
              <w:t xml:space="preserve">15,949</w:t>
            </w:r>
          </w:p>
        </w:tc>
        <w:tc>
          <w:p w14:paraId="00100126" w14:textId="00100127">
            <w:r>
              <w:t xml:space="preserve">33.8%</w:t>
            </w:r>
          </w:p>
        </w:tc>
      </w:tr>
      <w:tr>
        <w:trPr/>
        <w:tc>
          <w:p w14:paraId="00100128" w14:textId="00100129">
            <w:r>
              <w:t xml:space="preserve">Canada</w:t>
            </w:r>
          </w:p>
        </w:tc>
        <w:tc>
          <w:p w14:paraId="0010012A" w14:textId="0010012B">
            <w:r>
              <w:t xml:space="preserve">45,327</w:t>
            </w:r>
          </w:p>
        </w:tc>
        <w:tc>
          <w:p w14:paraId="0010012C" w14:textId="0010012D">
            <w:r>
              <w:t xml:space="preserve">15,321</w:t>
            </w:r>
          </w:p>
        </w:tc>
        <w:tc>
          <w:p w14:paraId="0010012E" w14:textId="0010012F">
            <w:r>
              <w:t xml:space="preserve">33.8%</w:t>
            </w:r>
          </w:p>
        </w:tc>
      </w:tr>
      <w:tr>
        <w:trPr/>
        <w:tc>
          <w:p w14:paraId="00100130" w14:textId="00100131">
            <w:r>
              <w:t xml:space="preserve">United States</w:t>
            </w:r>
          </w:p>
        </w:tc>
        <w:tc>
          <w:p w14:paraId="00100132" w14:textId="00100133">
            <w:r>
              <w:t xml:space="preserve">41,333</w:t>
            </w:r>
          </w:p>
        </w:tc>
        <w:tc>
          <w:p w14:paraId="00100134" w14:textId="00100135">
            <w:r>
              <w:t xml:space="preserve">13,980</w:t>
            </w:r>
          </w:p>
        </w:tc>
        <w:tc>
          <w:p w14:paraId="00100136" w14:textId="00100137">
            <w:r>
              <w:t xml:space="preserve">33.8%</w:t>
            </w:r>
          </w:p>
        </w:tc>
      </w:tr>
      <w:tr>
        <w:trPr/>
        <w:tc>
          <w:p w14:paraId="00100138" w14:textId="00100139">
            <w:r>
              <w:t xml:space="preserve">Japan</w:t>
            </w:r>
          </w:p>
        </w:tc>
        <w:tc>
          <w:p w14:paraId="0010013A" w14:textId="0010013B">
            <w:r>
              <w:t xml:space="preserve">30,950</w:t>
            </w:r>
          </w:p>
        </w:tc>
        <w:tc>
          <w:p w14:paraId="0010013C" w14:textId="0010013D">
            <w:r>
              <w:t xml:space="preserve">9,826</w:t>
            </w:r>
          </w:p>
        </w:tc>
        <w:tc>
          <w:p w14:paraId="0010013E" w14:textId="0010013F">
            <w:r>
              <w:t xml:space="preserve">31.7%</w:t>
            </w:r>
          </w:p>
        </w:tc>
      </w:tr>
      <w:tr>
        <w:trPr/>
        <w:tc>
          <w:p w14:paraId="00100140" w14:textId="00100141">
            <w:r>
              <w:t xml:space="preserve">United Kingdom</w:t>
            </w:r>
          </w:p>
        </w:tc>
        <w:tc>
          <w:p w14:paraId="00100142" w14:textId="00100143">
            <w:r>
              <w:t xml:space="preserve">30,185</w:t>
            </w:r>
          </w:p>
        </w:tc>
        <w:tc>
          <w:p w14:paraId="00100144" w14:textId="00100145">
            <w:r>
              <w:t xml:space="preserve">10,185</w:t>
            </w:r>
          </w:p>
        </w:tc>
        <w:tc>
          <w:p w14:paraId="00100146" w14:textId="00100147">
            <w:r>
              <w:t xml:space="preserve">33.7%</w:t>
            </w:r>
          </w:p>
        </w:tc>
      </w:tr>
    </w:tbl>
    <w:p w14:paraId="00100148" w14:textId="00100149">
      <w:pPr>
        <w:spacing w:before="160" w:after="200"/>
      </w:pPr>
      <w:r>
        <w:rPr>
          <w:sz w:val="22"/>
        </w:rPr>
        <w:t xml:space="preserve">North American markets (Mexico, Canada, United States) occupy the top three positions and all share the same strong margin of 33.8%. The dashboard also displays all 20 countries in an interactive grouped bar chart with horizontal orientation, sortable by total sales.</w:t>
      </w:r>
    </w:p>
    <w:p w14:paraId="0010014A" w14:textId="0010014B">
      <w:pPr>
        <w:pStyle w:val="Heading2"/>
        <w:spacing w:before="200" w:after="120"/>
      </w:pPr>
      <w:r>
        <w:rPr>
          <w:b/>
          <w:sz w:val="28"/>
        </w:rPr>
        <w:t xml:space="preserve">6.3 Product Category Performance</w:t>
      </w:r>
    </w:p>
    <w:tbl>
      <w:tblPr>
        <w:tblW w:w="5000" w:type="pct"/>
        <w:tblBorders>
          <w:top w:val="single" w:sz="4"/>
          <w:left w:val="single" w:sz="4"/>
          <w:bottom w:val="single" w:sz="4"/>
          <w:right w:val="single" w:sz="4"/>
          <w:insideH w:val="single" w:sz="4"/>
          <w:insideV w:val="single" w:sz="4"/>
        </w:tblBorders>
      </w:tblPr>
      <w:tblGrid>
        <w:gridCol w:w="1661"/>
        <w:gridCol w:w="1661"/>
        <w:gridCol w:w="1661"/>
        <w:gridCol w:w="1661"/>
        <w:gridCol w:w="1661"/>
      </w:tblGrid>
      <w:tr>
        <w:trPr>
          <w:tblHeader/>
        </w:trPr>
        <w:tc>
          <w:p w14:paraId="0010014C" w14:textId="0010014D">
            <w:r>
              <w:t xml:space="preserve">Category</w:t>
            </w:r>
          </w:p>
        </w:tc>
        <w:tc>
          <w:p w14:paraId="0010014E" w14:textId="0010014F">
            <w:r>
              <w:t xml:space="preserve">Total Sales ($)</w:t>
            </w:r>
          </w:p>
        </w:tc>
        <w:tc>
          <w:p w14:paraId="00100150" w14:textId="00100151">
            <w:r>
              <w:t xml:space="preserve">Total Profit ($)</w:t>
            </w:r>
          </w:p>
        </w:tc>
        <w:tc>
          <w:p w14:paraId="00100152" w14:textId="00100153">
            <w:r>
              <w:t xml:space="preserve">Margin (%)</w:t>
            </w:r>
          </w:p>
        </w:tc>
        <w:tc>
          <w:p w14:paraId="00100154" w14:textId="00100155">
            <w:r>
              <w:t xml:space="preserve">Orders</w:t>
            </w:r>
          </w:p>
        </w:tc>
      </w:tr>
      <w:tr>
        <w:trPr/>
        <w:tc>
          <w:p w14:paraId="00100156" w14:textId="00100157">
            <w:r>
              <w:t xml:space="preserve">Furniture</w:t>
            </w:r>
          </w:p>
        </w:tc>
        <w:tc>
          <w:p w14:paraId="00100158" w14:textId="00100159">
            <w:r>
              <w:t xml:space="preserve">256,275</w:t>
            </w:r>
          </w:p>
        </w:tc>
        <w:tc>
          <w:p w14:paraId="0010015A" w14:textId="0010015B">
            <w:r>
              <w:t xml:space="preserve">81,172</w:t>
            </w:r>
          </w:p>
        </w:tc>
        <w:tc>
          <w:p w14:paraId="0010015C" w14:textId="0010015D">
            <w:r>
              <w:t xml:space="preserve">31.7%</w:t>
            </w:r>
          </w:p>
        </w:tc>
        <w:tc>
          <w:p w14:paraId="0010015E" w14:textId="0010015F">
            <w:r>
              <w:t xml:space="preserve">507</w:t>
            </w:r>
          </w:p>
        </w:tc>
      </w:tr>
      <w:tr>
        <w:trPr/>
        <w:tc>
          <w:p w14:paraId="00100160" w14:textId="00100161">
            <w:r>
              <w:t xml:space="preserve">Technology</w:t>
            </w:r>
          </w:p>
        </w:tc>
        <w:tc>
          <w:p w14:paraId="00100162" w14:textId="00100163">
            <w:r>
              <w:t xml:space="preserve">139,518</w:t>
            </w:r>
          </w:p>
        </w:tc>
        <w:tc>
          <w:p w14:paraId="00100164" w14:textId="00100165">
            <w:r>
              <w:t xml:space="preserve">48,269</w:t>
            </w:r>
          </w:p>
        </w:tc>
        <w:tc>
          <w:p w14:paraId="00100166" w14:textId="00100167">
            <w:r>
              <w:t xml:space="preserve">34.6%</w:t>
            </w:r>
          </w:p>
        </w:tc>
        <w:tc>
          <w:p w14:paraId="00100168" w14:textId="00100169">
            <w:r>
              <w:t xml:space="preserve">567</w:t>
            </w:r>
          </w:p>
        </w:tc>
      </w:tr>
      <w:tr>
        <w:trPr/>
        <w:tc>
          <w:p w14:paraId="0010016A" w14:textId="0010016B">
            <w:r>
              <w:t xml:space="preserve">Clothing &amp; Accessories</w:t>
            </w:r>
          </w:p>
        </w:tc>
        <w:tc>
          <w:p w14:paraId="0010016C" w14:textId="0010016D">
            <w:r>
              <w:t xml:space="preserve">69,376</w:t>
            </w:r>
          </w:p>
        </w:tc>
        <w:tc>
          <w:p w14:paraId="0010016E" w14:textId="0010016F">
            <w:r>
              <w:t xml:space="preserve">26,113</w:t>
            </w:r>
          </w:p>
        </w:tc>
        <w:tc>
          <w:p w14:paraId="00100170" w14:textId="00100171">
            <w:r>
              <w:t xml:space="preserve">37.6%</w:t>
            </w:r>
          </w:p>
        </w:tc>
        <w:tc>
          <w:p w14:paraId="00100172" w14:textId="00100173">
            <w:r>
              <w:t xml:space="preserve">413</w:t>
            </w:r>
          </w:p>
        </w:tc>
      </w:tr>
      <w:tr>
        <w:trPr/>
        <w:tc>
          <w:p w14:paraId="00100174" w14:textId="00100175">
            <w:r>
              <w:t xml:space="preserve">Office Supplies</w:t>
            </w:r>
          </w:p>
        </w:tc>
        <w:tc>
          <w:p w14:paraId="00100176" w14:textId="00100177">
            <w:r>
              <w:t xml:space="preserve">19,391</w:t>
            </w:r>
          </w:p>
        </w:tc>
        <w:tc>
          <w:p w14:paraId="00100178" w14:textId="00100179">
            <w:r>
              <w:t xml:space="preserve">3,319</w:t>
            </w:r>
          </w:p>
        </w:tc>
        <w:tc>
          <w:p w14:paraId="0010017A" w14:textId="0010017B">
            <w:r>
              <w:t xml:space="preserve">17.1%</w:t>
            </w:r>
          </w:p>
        </w:tc>
        <w:tc>
          <w:p w14:paraId="0010017C" w14:textId="0010017D">
            <w:r>
              <w:t xml:space="preserve">513</w:t>
            </w:r>
          </w:p>
        </w:tc>
      </w:tr>
    </w:tbl>
    <w:p w14:paraId="0010017E" w14:textId="0010017F">
      <w:pPr>
        <w:spacing w:before="160" w:after="200"/>
      </w:pPr>
      <w:r>
        <w:rPr>
          <w:sz w:val="22"/>
        </w:rPr>
        <w:t xml:space="preserve">Furniture dominates by revenue ($256,275, 52.9% of total sales) but delivers only a 31.7% margin. Clothing &amp; Accessories, despite lower volume, is the highest-margin category at 37.6%. Office Supplies is a serious concern: it accounts for 25.7% of all orders yet produces only $19,391 in sales and a very low 17.1% margin — the weakest of all four categories.</w:t>
      </w:r>
    </w:p>
    <w:p w14:paraId="00100180" w14:textId="00100181">
      <w:pPr>
        <w:pStyle w:val="Heading2"/>
        <w:spacing w:before="200" w:after="120"/>
      </w:pPr>
      <w:r>
        <w:rPr>
          <w:b/>
          <w:sz w:val="28"/>
        </w:rPr>
        <w:t xml:space="preserve">6.4 Top Products by Sales and Profit</w:t>
      </w:r>
    </w:p>
    <w:tbl>
      <w:tblPr>
        <w:tblW w:w="5000" w:type="pct"/>
        <w:tblBorders>
          <w:top w:val="single" w:sz="4"/>
          <w:left w:val="single" w:sz="4"/>
          <w:bottom w:val="single" w:sz="4"/>
          <w:right w:val="single" w:sz="4"/>
          <w:insideH w:val="single" w:sz="4"/>
          <w:insideV w:val="single" w:sz="4"/>
        </w:tblBorders>
      </w:tblPr>
      <w:tblGrid>
        <w:gridCol w:w="1661"/>
        <w:gridCol w:w="1661"/>
        <w:gridCol w:w="1661"/>
        <w:gridCol w:w="1661"/>
        <w:gridCol w:w="1661"/>
      </w:tblGrid>
      <w:tr>
        <w:trPr>
          <w:tblHeader/>
        </w:trPr>
        <w:tc>
          <w:p w14:paraId="00100182" w14:textId="00100183">
            <w:r>
              <w:t xml:space="preserve">Rank</w:t>
            </w:r>
          </w:p>
        </w:tc>
        <w:tc>
          <w:p w14:paraId="00100184" w14:textId="00100185">
            <w:r>
              <w:t xml:space="preserve">Product Name</w:t>
            </w:r>
          </w:p>
        </w:tc>
        <w:tc>
          <w:p w14:paraId="00100186" w14:textId="00100187">
            <w:r>
              <w:t xml:space="preserve">Total Sales ($)</w:t>
            </w:r>
          </w:p>
        </w:tc>
        <w:tc>
          <w:p w14:paraId="00100188" w14:textId="00100189">
            <w:r>
              <w:t xml:space="preserve">Total Profit ($)</w:t>
            </w:r>
          </w:p>
        </w:tc>
        <w:tc>
          <w:p w14:paraId="0010018A" w14:textId="0010018B">
            <w:r>
              <w:t xml:space="preserve">Margin (%)</w:t>
            </w:r>
          </w:p>
        </w:tc>
      </w:tr>
      <w:tr>
        <w:trPr/>
        <w:tc>
          <w:p w14:paraId="0010018C" w14:textId="0010018D">
            <w:r>
              <w:t xml:space="preserve">1</w:t>
            </w:r>
          </w:p>
        </w:tc>
        <w:tc>
          <w:p w14:paraId="0010018E" w14:textId="0010018F">
            <w:r>
              <w:t xml:space="preserve">Standing Desk Converter</w:t>
            </w:r>
          </w:p>
        </w:tc>
        <w:tc>
          <w:p w14:paraId="00100190" w14:textId="00100191">
            <w:r>
              <w:t xml:space="preserve">46,614</w:t>
            </w:r>
          </w:p>
        </w:tc>
        <w:tc>
          <w:p w14:paraId="00100192" w14:textId="00100193">
            <w:r>
              <w:t xml:space="preserve">14,694</w:t>
            </w:r>
          </w:p>
        </w:tc>
        <w:tc>
          <w:p w14:paraId="00100194" w14:textId="00100195">
            <w:r>
              <w:t xml:space="preserve">31.5%</w:t>
            </w:r>
          </w:p>
        </w:tc>
      </w:tr>
      <w:tr>
        <w:trPr/>
        <w:tc>
          <w:p w14:paraId="00100196" w14:textId="00100197">
            <w:r>
              <w:t xml:space="preserve">2</w:t>
            </w:r>
          </w:p>
        </w:tc>
        <w:tc>
          <w:p w14:paraId="00100198" w14:textId="00100199">
            <w:r>
              <w:t xml:space="preserve">Ergonomic Office Chair</w:t>
            </w:r>
          </w:p>
        </w:tc>
        <w:tc>
          <w:p w14:paraId="0010019A" w14:textId="0010019B">
            <w:r>
              <w:t xml:space="preserve">45,405</w:t>
            </w:r>
          </w:p>
        </w:tc>
        <w:tc>
          <w:p w14:paraId="0010019C" w14:textId="0010019D">
            <w:r>
              <w:t xml:space="preserve">15,105</w:t>
            </w:r>
          </w:p>
        </w:tc>
        <w:tc>
          <w:p w14:paraId="0010019E" w14:textId="0010019F">
            <w:r>
              <w:t xml:space="preserve">33.3%</w:t>
            </w:r>
          </w:p>
        </w:tc>
      </w:tr>
      <w:tr>
        <w:trPr/>
        <w:tc>
          <w:p w14:paraId="001001A0" w14:textId="001001A1">
            <w:r>
              <w:t xml:space="preserve">3</w:t>
            </w:r>
          </w:p>
        </w:tc>
        <w:tc>
          <w:p w14:paraId="001001A2" w14:textId="001001A3">
            <w:r>
              <w:t xml:space="preserve">Corner L-Shaped Desk</w:t>
            </w:r>
          </w:p>
        </w:tc>
        <w:tc>
          <w:p w14:paraId="001001A4" w14:textId="001001A5">
            <w:r>
              <w:t xml:space="preserve">41,070</w:t>
            </w:r>
          </w:p>
        </w:tc>
        <w:tc>
          <w:p w14:paraId="001001A6" w14:textId="001001A7">
            <w:r>
              <w:t xml:space="preserve">13,663</w:t>
            </w:r>
          </w:p>
        </w:tc>
        <w:tc>
          <w:p w14:paraId="001001A8" w14:textId="001001A9">
            <w:r>
              <w:t xml:space="preserve">33.3%</w:t>
            </w:r>
          </w:p>
        </w:tc>
      </w:tr>
      <w:tr>
        <w:trPr/>
        <w:tc>
          <w:p w14:paraId="001001AA" w14:textId="001001AB">
            <w:r>
              <w:t xml:space="preserve">4</w:t>
            </w:r>
          </w:p>
        </w:tc>
        <w:tc>
          <w:p w14:paraId="001001AC" w14:textId="001001AD">
            <w:r>
              <w:t xml:space="preserve">Mesh Back Task Chair</w:t>
            </w:r>
          </w:p>
        </w:tc>
        <w:tc>
          <w:p w14:paraId="001001AE" w14:textId="001001AF">
            <w:r>
              <w:t xml:space="preserve">38,180</w:t>
            </w:r>
          </w:p>
        </w:tc>
        <w:tc>
          <w:p w14:paraId="001001B0" w14:textId="001001B1">
            <w:r>
              <w:t xml:space="preserve">12,820</w:t>
            </w:r>
          </w:p>
        </w:tc>
        <w:tc>
          <w:p w14:paraId="001001B2" w14:textId="001001B3">
            <w:r>
              <w:t xml:space="preserve">33.6%</w:t>
            </w:r>
          </w:p>
        </w:tc>
      </w:tr>
      <w:tr>
        <w:trPr/>
        <w:tc>
          <w:p w14:paraId="001001B4" w14:textId="001001B5">
            <w:r>
              <w:t xml:space="preserve">5</w:t>
            </w:r>
          </w:p>
        </w:tc>
        <w:tc>
          <w:p w14:paraId="001001B6" w14:textId="001001B7">
            <w:r>
              <w:t xml:space="preserve">Wireless Bluetooth Headphones</w:t>
            </w:r>
          </w:p>
        </w:tc>
        <w:tc>
          <w:p w14:paraId="001001B8" w14:textId="001001B9">
            <w:r>
              <w:t xml:space="preserve">28,259</w:t>
            </w:r>
          </w:p>
        </w:tc>
        <w:tc>
          <w:p w14:paraId="001001BA" w14:textId="001001BB">
            <w:r>
              <w:t xml:space="preserve">10,611</w:t>
            </w:r>
          </w:p>
        </w:tc>
        <w:tc>
          <w:p w14:paraId="001001BC" w14:textId="001001BD">
            <w:r>
              <w:t xml:space="preserve">37.5%</w:t>
            </w:r>
          </w:p>
        </w:tc>
      </w:tr>
    </w:tbl>
    <w:p w14:paraId="001001BE" w14:textId="001001BF">
      <w:pPr>
        <w:spacing w:before="160" w:after="200"/>
      </w:pPr>
      <w:r>
        <w:rPr>
          <w:sz w:val="22"/>
        </w:rPr>
        <w:t xml:space="preserve">The top-5 by profit closely mirrors the top-5 by sales, with the Ergonomic Office Chair being the most profitable product at $15,105 despite ranking second in revenue. Wireless Bluetooth Headphones stands out for its superior margin of 37.5% — the highest among the top-5.</w:t>
      </w:r>
    </w:p>
    <w:p w14:paraId="001001C0" w14:textId="001001C1">
      <w:pPr>
        <w:pStyle w:val="Heading2"/>
        <w:spacing w:before="200" w:after="120"/>
      </w:pPr>
      <w:r>
        <w:rPr>
          <w:b/>
          <w:sz w:val="28"/>
        </w:rPr>
        <w:t xml:space="preserve">6.5 Customer Segment Performance</w:t>
      </w:r>
    </w:p>
    <w:tbl>
      <w:tblPr>
        <w:tblW w:w="5000" w:type="pct"/>
        <w:tblBorders>
          <w:top w:val="single" w:sz="4"/>
          <w:left w:val="single" w:sz="4"/>
          <w:bottom w:val="single" w:sz="4"/>
          <w:right w:val="single" w:sz="4"/>
          <w:insideH w:val="single" w:sz="4"/>
          <w:insideV w:val="single" w:sz="4"/>
        </w:tblBorders>
      </w:tblPr>
      <w:tblGrid>
        <w:gridCol w:w="1661"/>
        <w:gridCol w:w="1661"/>
        <w:gridCol w:w="1661"/>
        <w:gridCol w:w="1661"/>
        <w:gridCol w:w="1661"/>
      </w:tblGrid>
      <w:tr>
        <w:trPr>
          <w:tblHeader/>
        </w:trPr>
        <w:tc>
          <w:p w14:paraId="001001C2" w14:textId="001001C3">
            <w:r>
              <w:t xml:space="preserve">Segment</w:t>
            </w:r>
          </w:p>
        </w:tc>
        <w:tc>
          <w:p w14:paraId="001001C4" w14:textId="001001C5">
            <w:r>
              <w:t xml:space="preserve">Total Sales ($)</w:t>
            </w:r>
          </w:p>
        </w:tc>
        <w:tc>
          <w:p w14:paraId="001001C6" w14:textId="001001C7">
            <w:r>
              <w:t xml:space="preserve">Total Profit ($)</w:t>
            </w:r>
          </w:p>
        </w:tc>
        <w:tc>
          <w:p w14:paraId="001001C8" w14:textId="001001C9">
            <w:r>
              <w:t xml:space="preserve">Margin (%)</w:t>
            </w:r>
          </w:p>
        </w:tc>
        <w:tc>
          <w:p w14:paraId="001001CA" w14:textId="001001CB">
            <w:r>
              <w:t xml:space="preserve">Avg Order Value ($)</w:t>
            </w:r>
          </w:p>
        </w:tc>
      </w:tr>
      <w:tr>
        <w:trPr/>
        <w:tc>
          <w:p w14:paraId="001001CC" w14:textId="001001CD">
            <w:r>
              <w:t xml:space="preserve">Consumer</w:t>
            </w:r>
          </w:p>
        </w:tc>
        <w:tc>
          <w:p w14:paraId="001001CE" w14:textId="001001CF">
            <w:r>
              <w:t xml:space="preserve">256,288</w:t>
            </w:r>
          </w:p>
        </w:tc>
        <w:tc>
          <w:p w14:paraId="001001D0" w14:textId="001001D1">
            <w:r>
              <w:t xml:space="preserve">87,300</w:t>
            </w:r>
          </w:p>
        </w:tc>
        <w:tc>
          <w:p w14:paraId="001001D2" w14:textId="001001D3">
            <w:r>
              <w:t xml:space="preserve">34.1%</w:t>
            </w:r>
          </w:p>
        </w:tc>
        <w:tc>
          <w:p w14:paraId="001001D4" w14:textId="001001D5">
            <w:r>
              <w:t xml:space="preserve">254.76</w:t>
            </w:r>
          </w:p>
        </w:tc>
      </w:tr>
      <w:tr>
        <w:trPr/>
        <w:tc>
          <w:p w14:paraId="001001D6" w14:textId="001001D7">
            <w:r>
              <w:t xml:space="preserve">Corporate</w:t>
            </w:r>
          </w:p>
        </w:tc>
        <w:tc>
          <w:p w14:paraId="001001D8" w14:textId="001001D9">
            <w:r>
              <w:t xml:space="preserve">146,050</w:t>
            </w:r>
          </w:p>
        </w:tc>
        <w:tc>
          <w:p w14:paraId="001001DA" w14:textId="001001DB">
            <w:r>
              <w:t xml:space="preserve">44,463</w:t>
            </w:r>
          </w:p>
        </w:tc>
        <w:tc>
          <w:p w14:paraId="001001DC" w14:textId="001001DD">
            <w:r>
              <w:t xml:space="preserve">30.4%</w:t>
            </w:r>
          </w:p>
        </w:tc>
        <w:tc>
          <w:p w14:paraId="001001DE" w14:textId="001001DF">
            <w:r>
              <w:t xml:space="preserve">234.43</w:t>
            </w:r>
          </w:p>
        </w:tc>
      </w:tr>
      <w:tr>
        <w:trPr/>
        <w:tc>
          <w:p w14:paraId="001001E0" w14:textId="001001E1">
            <w:r>
              <w:t xml:space="preserve">Home Office</w:t>
            </w:r>
          </w:p>
        </w:tc>
        <w:tc>
          <w:p w14:paraId="001001E2" w14:textId="001001E3">
            <w:r>
              <w:t xml:space="preserve">82,221</w:t>
            </w:r>
          </w:p>
        </w:tc>
        <w:tc>
          <w:p w14:paraId="001001E4" w14:textId="001001E5">
            <w:r>
              <w:t xml:space="preserve">27,109</w:t>
            </w:r>
          </w:p>
        </w:tc>
        <w:tc>
          <w:p w14:paraId="001001E6" w14:textId="001001E7">
            <w:r>
              <w:t xml:space="preserve">33.0%</w:t>
            </w:r>
          </w:p>
        </w:tc>
        <w:tc>
          <w:p w14:paraId="001001E8" w14:textId="001001E9">
            <w:r>
              <w:t xml:space="preserve">221.62</w:t>
            </w:r>
          </w:p>
        </w:tc>
      </w:tr>
    </w:tbl>
    <w:p w14:paraId="001001EA" w14:textId="001001EB">
      <w:pPr>
        <w:spacing w:before="160" w:after="200"/>
      </w:pPr>
      <w:r>
        <w:rPr>
          <w:sz w:val="22"/>
        </w:rPr>
        <w:t xml:space="preserve">The Consumer segment dominates, contributing 52.9% of total sales and the highest profit margin (34.1%) and average order value ($254.76). Corporate, while second in revenue, has the lowest margin at 30.4%, suggesting either heavier discounting or a less favourable product mix. Home Office is a smaller but margin-healthy segment at 33.0%.</w:t>
      </w:r>
    </w:p>
    <w:p w14:paraId="001001EC" w14:textId="001001ED">
      <w:pPr>
        <w:pStyle w:val="Heading2"/>
        <w:spacing w:before="200" w:after="120"/>
      </w:pPr>
      <w:r>
        <w:rPr>
          <w:b/>
          <w:sz w:val="28"/>
        </w:rPr>
        <w:t xml:space="preserve">6.6 Payment Method Distribution</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1EE" w14:textId="001001EF">
            <w:r>
              <w:t xml:space="preserve">Payment Method</w:t>
            </w:r>
          </w:p>
        </w:tc>
        <w:tc>
          <w:p w14:paraId="001001F0" w14:textId="001001F1">
            <w:r>
              <w:t xml:space="preserve">Total Sales ($)</w:t>
            </w:r>
          </w:p>
        </w:tc>
        <w:tc>
          <w:p w14:paraId="001001F2" w14:textId="001001F3">
            <w:r>
              <w:t xml:space="preserve">Orders</w:t>
            </w:r>
          </w:p>
        </w:tc>
        <w:tc>
          <w:p w14:paraId="001001F4" w14:textId="001001F5">
            <w:r>
              <w:t xml:space="preserve">Sales Share (%)</w:t>
            </w:r>
          </w:p>
        </w:tc>
      </w:tr>
      <w:tr>
        <w:trPr/>
        <w:tc>
          <w:p w14:paraId="001001F6" w14:textId="001001F7">
            <w:r>
              <w:t xml:space="preserve">Credit Card</w:t>
            </w:r>
          </w:p>
        </w:tc>
        <w:tc>
          <w:p w14:paraId="001001F8" w14:textId="001001F9">
            <w:r>
              <w:t xml:space="preserve">192,718</w:t>
            </w:r>
          </w:p>
        </w:tc>
        <w:tc>
          <w:p w14:paraId="001001FA" w14:textId="001001FB">
            <w:r>
              <w:t xml:space="preserve">797</w:t>
            </w:r>
          </w:p>
        </w:tc>
        <w:tc>
          <w:p w14:paraId="001001FC" w14:textId="001001FD">
            <w:r>
              <w:t xml:space="preserve">39.8%</w:t>
            </w:r>
          </w:p>
        </w:tc>
      </w:tr>
      <w:tr>
        <w:trPr/>
        <w:tc>
          <w:p w14:paraId="001001FE" w14:textId="001001FF">
            <w:r>
              <w:t xml:space="preserve">PayPal</w:t>
            </w:r>
          </w:p>
        </w:tc>
        <w:tc>
          <w:p w14:paraId="00100200" w14:textId="00100201">
            <w:r>
              <w:t xml:space="preserve">143,113</w:t>
            </w:r>
          </w:p>
        </w:tc>
        <w:tc>
          <w:p w14:paraId="00100202" w14:textId="00100203">
            <w:r>
              <w:t xml:space="preserve">609</w:t>
            </w:r>
          </w:p>
        </w:tc>
        <w:tc>
          <w:p w14:paraId="00100204" w14:textId="00100205">
            <w:r>
              <w:t xml:space="preserve">29.5%</w:t>
            </w:r>
          </w:p>
        </w:tc>
      </w:tr>
      <w:tr>
        <w:trPr/>
        <w:tc>
          <w:p w14:paraId="00100206" w14:textId="00100207">
            <w:r>
              <w:t xml:space="preserve">Cash on Delivery</w:t>
            </w:r>
          </w:p>
        </w:tc>
        <w:tc>
          <w:p w14:paraId="00100208" w14:textId="00100209">
            <w:r>
              <w:t xml:space="preserve">77,130</w:t>
            </w:r>
          </w:p>
        </w:tc>
        <w:tc>
          <w:p w14:paraId="0010020A" w14:textId="0010020B">
            <w:r>
              <w:t xml:space="preserve">301</w:t>
            </w:r>
          </w:p>
        </w:tc>
        <w:tc>
          <w:p w14:paraId="0010020C" w14:textId="0010020D">
            <w:r>
              <w:t xml:space="preserve">15.9%</w:t>
            </w:r>
          </w:p>
        </w:tc>
      </w:tr>
      <w:tr>
        <w:trPr/>
        <w:tc>
          <w:p w14:paraId="0010020E" w14:textId="0010020F">
            <w:r>
              <w:t xml:space="preserve">Bank Transfer</w:t>
            </w:r>
          </w:p>
        </w:tc>
        <w:tc>
          <w:p w14:paraId="00100210" w14:textId="00100211">
            <w:r>
              <w:t xml:space="preserve">71,599</w:t>
            </w:r>
          </w:p>
        </w:tc>
        <w:tc>
          <w:p w14:paraId="00100212" w14:textId="00100213">
            <w:r>
              <w:t xml:space="preserve">293</w:t>
            </w:r>
          </w:p>
        </w:tc>
        <w:tc>
          <w:p w14:paraId="00100214" w14:textId="00100215">
            <w:r>
              <w:t xml:space="preserve">14.8%</w:t>
            </w:r>
          </w:p>
        </w:tc>
      </w:tr>
    </w:tbl>
    <w:p w14:paraId="00100216" w14:textId="00100217">
      <w:pPr>
        <w:spacing w:before="160" w:after="320"/>
      </w:pPr>
      <w:r>
        <w:rPr>
          <w:sz w:val="22"/>
        </w:rPr>
        <w:t xml:space="preserve">Credit Card (39.8%) and PayPal (29.5%) together account for 69.3% of all sales revenue. Cash on Delivery and Bank Transfer represent the remaining 30.7%, predominantly associated with markets in South America, Middle East &amp; Africa, and Asia Pacific where digital payment penetration is lower. The dashboard displays this as an interactive donut chart.</w:t>
      </w:r>
    </w:p>
    <w:p w14:paraId="00100218" w14:textId="00100219">
      <w:pPr>
        <w:pStyle w:val="Heading1"/>
        <w:spacing w:before="320" w:after="160"/>
      </w:pPr>
      <w:r>
        <w:rPr>
          <w:b/>
          <w:sz w:val="36"/>
        </w:rPr>
        <w:t xml:space="preserve">7. Section IV — Risks and Opportunities</w:t>
      </w:r>
    </w:p>
    <w:p w14:paraId="0010021A" w14:textId="0010021B">
      <w:pPr>
        <w:spacing w:after="200"/>
      </w:pPr>
      <w:r>
        <w:rPr>
          <w:sz w:val="22"/>
        </w:rPr>
        <w:t xml:space="preserve">This section surfaces the most significant risks and opportunities identified from the data. The dashboard renders five dedicated visualisations for this section: a discount vs margin bar/line combo, a shipping cost stacked bar, a lowest-margin products bar, a sales vs margin bubble scatter, and a category risk matrix.</w:t>
      </w:r>
    </w:p>
    <w:p w14:paraId="0010021C" w14:textId="0010021D">
      <w:pPr>
        <w:pStyle w:val="Heading2"/>
        <w:spacing w:before="200" w:after="120"/>
      </w:pPr>
      <w:r>
        <w:rPr>
          <w:b/>
          <w:sz w:val="28"/>
        </w:rPr>
        <w:t xml:space="preserve">7.1 Discount Erosion Risk</w:t>
      </w:r>
    </w:p>
    <w:tbl>
      <w:tblPr>
        <w:tblW w:w="5000" w:type="pct"/>
        <w:tblBorders>
          <w:top w:val="single" w:sz="4"/>
          <w:left w:val="single" w:sz="4"/>
          <w:bottom w:val="single" w:sz="4"/>
          <w:right w:val="single" w:sz="4"/>
          <w:insideH w:val="single" w:sz="4"/>
          <w:insideV w:val="single" w:sz="4"/>
        </w:tblBorders>
      </w:tblPr>
      <w:tblGrid>
        <w:gridCol w:w="1661"/>
        <w:gridCol w:w="1661"/>
        <w:gridCol w:w="1661"/>
        <w:gridCol w:w="1661"/>
        <w:gridCol w:w="1661"/>
      </w:tblGrid>
      <w:tr>
        <w:trPr>
          <w:tblHeader/>
        </w:trPr>
        <w:tc>
          <w:p w14:paraId="0010021E" w14:textId="0010021F">
            <w:r>
              <w:t xml:space="preserve">Discount Band</w:t>
            </w:r>
          </w:p>
        </w:tc>
        <w:tc>
          <w:p w14:paraId="00100220" w14:textId="00100221">
            <w:r>
              <w:t xml:space="preserve">Orders</w:t>
            </w:r>
          </w:p>
        </w:tc>
        <w:tc>
          <w:p w14:paraId="00100222" w14:textId="00100223">
            <w:r>
              <w:t xml:space="preserve">Total Sales ($)</w:t>
            </w:r>
          </w:p>
        </w:tc>
        <w:tc>
          <w:p w14:paraId="00100224" w14:textId="00100225">
            <w:r>
              <w:t xml:space="preserve">Total Profit ($)</w:t>
            </w:r>
          </w:p>
        </w:tc>
        <w:tc>
          <w:p w14:paraId="00100226" w14:textId="00100227">
            <w:r>
              <w:t xml:space="preserve">Profit Margin (%)</w:t>
            </w:r>
          </w:p>
        </w:tc>
      </w:tr>
      <w:tr>
        <w:trPr/>
        <w:tc>
          <w:p w14:paraId="00100228" w14:textId="00100229">
            <w:r>
              <w:t xml:space="preserve">0% (no discount)</w:t>
            </w:r>
          </w:p>
        </w:tc>
        <w:tc>
          <w:p w14:paraId="0010022A" w14:textId="0010022B">
            <w:r>
              <w:t xml:space="preserve">503</w:t>
            </w:r>
          </w:p>
        </w:tc>
        <w:tc>
          <w:p w14:paraId="0010022C" w14:textId="0010022D">
            <w:r>
              <w:t xml:space="preserve">130,966</w:t>
            </w:r>
          </w:p>
        </w:tc>
        <w:tc>
          <w:p w14:paraId="0010022E" w14:textId="0010022F">
            <w:r>
              <w:t xml:space="preserve">50,705</w:t>
            </w:r>
          </w:p>
        </w:tc>
        <w:tc>
          <w:p w14:paraId="00100230" w14:textId="00100231">
            <w:r>
              <w:t xml:space="preserve">38.7%</w:t>
            </w:r>
          </w:p>
        </w:tc>
      </w:tr>
      <w:tr>
        <w:trPr/>
        <w:tc>
          <w:p w14:paraId="00100232" w14:textId="00100233">
            <w:r>
              <w:t xml:space="preserve">1% – 5%</w:t>
            </w:r>
          </w:p>
        </w:tc>
        <w:tc>
          <w:p w14:paraId="00100234" w14:textId="00100235">
            <w:r>
              <w:t xml:space="preserve">488</w:t>
            </w:r>
          </w:p>
        </w:tc>
        <w:tc>
          <w:p w14:paraId="00100236" w14:textId="00100237">
            <w:r>
              <w:t xml:space="preserve">130,452</w:t>
            </w:r>
          </w:p>
        </w:tc>
        <w:tc>
          <w:p w14:paraId="00100238" w14:textId="00100239">
            <w:r>
              <w:t xml:space="preserve">46,129</w:t>
            </w:r>
          </w:p>
        </w:tc>
        <w:tc>
          <w:p w14:paraId="0010023A" w14:textId="0010023B">
            <w:r>
              <w:t xml:space="preserve">35.4%</w:t>
            </w:r>
          </w:p>
        </w:tc>
      </w:tr>
      <w:tr>
        <w:trPr/>
        <w:tc>
          <w:p w14:paraId="0010023C" w14:textId="0010023D">
            <w:r>
              <w:t xml:space="preserve">6% – 10%</w:t>
            </w:r>
          </w:p>
        </w:tc>
        <w:tc>
          <w:p w14:paraId="0010023E" w14:textId="0010023F">
            <w:r>
              <w:t xml:space="preserve">443</w:t>
            </w:r>
          </w:p>
        </w:tc>
        <w:tc>
          <w:p w14:paraId="00100240" w14:textId="00100241">
            <w:r>
              <w:t xml:space="preserve">103,136</w:t>
            </w:r>
          </w:p>
        </w:tc>
        <w:tc>
          <w:p w14:paraId="00100242" w14:textId="00100243">
            <w:r>
              <w:t xml:space="preserve">32,933</w:t>
            </w:r>
          </w:p>
        </w:tc>
        <w:tc>
          <w:p w14:paraId="00100244" w14:textId="00100245">
            <w:r>
              <w:t xml:space="preserve">31.9%</w:t>
            </w:r>
          </w:p>
        </w:tc>
      </w:tr>
      <w:tr>
        <w:trPr/>
        <w:tc>
          <w:p w14:paraId="00100246" w14:textId="00100247">
            <w:r>
              <w:t xml:space="preserve">11% – 20%</w:t>
            </w:r>
          </w:p>
        </w:tc>
        <w:tc>
          <w:p w14:paraId="00100248" w14:textId="00100249">
            <w:r>
              <w:t xml:space="preserve">481</w:t>
            </w:r>
          </w:p>
        </w:tc>
        <w:tc>
          <w:p w14:paraId="0010024A" w14:textId="0010024B">
            <w:r>
              <w:t xml:space="preserve">101,304</w:t>
            </w:r>
          </w:p>
        </w:tc>
        <w:tc>
          <w:p w14:paraId="0010024C" w14:textId="0010024D">
            <w:r>
              <w:t xml:space="preserve">25,808</w:t>
            </w:r>
          </w:p>
        </w:tc>
        <w:tc>
          <w:p w14:paraId="0010024E" w14:textId="0010024F">
            <w:r>
              <w:t xml:space="preserve">25.5%</w:t>
            </w:r>
          </w:p>
        </w:tc>
      </w:tr>
      <w:tr>
        <w:trPr/>
        <w:tc>
          <w:p w14:paraId="00100250" w14:textId="00100251">
            <w:r>
              <w:t xml:space="preserve">21% – 30%</w:t>
            </w:r>
          </w:p>
        </w:tc>
        <w:tc>
          <w:p w14:paraId="00100252" w14:textId="00100253">
            <w:r>
              <w:t xml:space="preserve">85</w:t>
            </w:r>
          </w:p>
        </w:tc>
        <w:tc>
          <w:p w14:paraId="00100254" w14:textId="00100255">
            <w:r>
              <w:t xml:space="preserve">18,701</w:t>
            </w:r>
          </w:p>
        </w:tc>
        <w:tc>
          <w:p w14:paraId="00100256" w14:textId="00100257">
            <w:r>
              <w:t xml:space="preserve">3,297</w:t>
            </w:r>
          </w:p>
        </w:tc>
        <w:tc>
          <w:p w14:paraId="00100258" w14:textId="00100259">
            <w:r>
              <w:t xml:space="preserve">17.6%</w:t>
            </w:r>
          </w:p>
        </w:tc>
      </w:tr>
    </w:tbl>
    <w:p w14:paraId="0010025A" w14:textId="0010025B">
      <w:pPr>
        <w:spacing w:before="160" w:after="200"/>
      </w:pPr>
      <w:r>
        <w:rPr>
          <w:sz w:val="22"/>
        </w:rPr>
        <w:t xml:space="preserve">RISK: Profit margin falls from 38.7% (no discount) to 17.6% (21-30% discount) — a 21.1 percentage point compression. Even a modest 1-5% discount reduces margin by 3.3 points. The 85 orders in the 21-30% band are particularly concerning: they represent only 4.25% of order volume but sacrifice over half the available margin. A discount governance policy with floor margins is strongly recommended.</w:t>
      </w:r>
    </w:p>
    <w:p w14:paraId="0010025C" w14:textId="0010025D">
      <w:pPr>
        <w:pStyle w:val="Heading2"/>
        <w:spacing w:before="200" w:after="120"/>
      </w:pPr>
      <w:r>
        <w:rPr>
          <w:b/>
          <w:sz w:val="28"/>
        </w:rPr>
        <w:t xml:space="preserve">7.2 Shipping Cost Burden by Country</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25E" w14:textId="0010025F">
            <w:r>
              <w:t xml:space="preserve">Country</w:t>
            </w:r>
          </w:p>
        </w:tc>
        <w:tc>
          <w:p w14:paraId="00100260" w14:textId="00100261">
            <w:r>
              <w:t xml:space="preserve">Shipping Cost ($)</w:t>
            </w:r>
          </w:p>
        </w:tc>
        <w:tc>
          <w:p w14:paraId="00100262" w14:textId="00100263">
            <w:r>
              <w:t xml:space="preserve">Total Sales ($)</w:t>
            </w:r>
          </w:p>
        </w:tc>
        <w:tc>
          <w:p w14:paraId="00100264" w14:textId="00100265">
            <w:r>
              <w:t xml:space="preserve">Shipping as % of Sales</w:t>
            </w:r>
          </w:p>
        </w:tc>
      </w:tr>
      <w:tr>
        <w:trPr/>
        <w:tc>
          <w:p w14:paraId="00100266" w14:textId="00100267">
            <w:r>
              <w:t xml:space="preserve">Colombia</w:t>
            </w:r>
          </w:p>
        </w:tc>
        <w:tc>
          <w:p w14:paraId="00100268" w14:textId="00100269">
            <w:r>
              <w:t xml:space="preserve">899</w:t>
            </w:r>
          </w:p>
        </w:tc>
        <w:tc>
          <w:p w14:paraId="0010026A" w14:textId="0010026B">
            <w:r>
              <w:t xml:space="preserve">9,860</w:t>
            </w:r>
          </w:p>
        </w:tc>
        <w:tc>
          <w:p w14:paraId="0010026C" w14:textId="0010026D">
            <w:r>
              <w:t xml:space="preserve">9.1%</w:t>
            </w:r>
          </w:p>
        </w:tc>
      </w:tr>
      <w:tr>
        <w:trPr/>
        <w:tc>
          <w:p w14:paraId="0010026E" w14:textId="0010026F">
            <w:r>
              <w:t xml:space="preserve">UAE</w:t>
            </w:r>
          </w:p>
        </w:tc>
        <w:tc>
          <w:p w14:paraId="00100270" w14:textId="00100271">
            <w:r>
              <w:t xml:space="preserve">773</w:t>
            </w:r>
          </w:p>
        </w:tc>
        <w:tc>
          <w:p w14:paraId="00100272" w14:textId="00100273">
            <w:r>
              <w:t xml:space="preserve">8,773</w:t>
            </w:r>
          </w:p>
        </w:tc>
        <w:tc>
          <w:p w14:paraId="00100274" w14:textId="00100275">
            <w:r>
              <w:t xml:space="preserve">8.8%</w:t>
            </w:r>
          </w:p>
        </w:tc>
      </w:tr>
      <w:tr>
        <w:trPr/>
        <w:tc>
          <w:p w14:paraId="00100276" w14:textId="00100277">
            <w:r>
              <w:t xml:space="preserve">Nigeria</w:t>
            </w:r>
          </w:p>
        </w:tc>
        <w:tc>
          <w:p w14:paraId="00100278" w14:textId="00100279">
            <w:r>
              <w:t xml:space="preserve">740</w:t>
            </w:r>
          </w:p>
        </w:tc>
        <w:tc>
          <w:p w14:paraId="0010027A" w14:textId="0010027B">
            <w:r>
              <w:t xml:space="preserve">9,900</w:t>
            </w:r>
          </w:p>
        </w:tc>
        <w:tc>
          <w:p w14:paraId="0010027C" w14:textId="0010027D">
            <w:r>
              <w:t xml:space="preserve">7.5%</w:t>
            </w:r>
          </w:p>
        </w:tc>
      </w:tr>
      <w:tr>
        <w:trPr/>
        <w:tc>
          <w:p w14:paraId="0010027E" w14:textId="0010027F">
            <w:r>
              <w:t xml:space="preserve">South Africa</w:t>
            </w:r>
          </w:p>
        </w:tc>
        <w:tc>
          <w:p w14:paraId="00100280" w14:textId="00100281">
            <w:r>
              <w:t xml:space="preserve">993</w:t>
            </w:r>
          </w:p>
        </w:tc>
        <w:tc>
          <w:p w14:paraId="00100282" w14:textId="00100283">
            <w:r>
              <w:t xml:space="preserve">13,565</w:t>
            </w:r>
          </w:p>
        </w:tc>
        <w:tc>
          <w:p w14:paraId="00100284" w14:textId="00100285">
            <w:r>
              <w:t xml:space="preserve">7.3%</w:t>
            </w:r>
          </w:p>
        </w:tc>
      </w:tr>
      <w:tr>
        <w:trPr/>
        <w:tc>
          <w:p w14:paraId="00100286" w14:textId="00100287">
            <w:r>
              <w:t xml:space="preserve">India</w:t>
            </w:r>
          </w:p>
        </w:tc>
        <w:tc>
          <w:p w14:paraId="00100288" w14:textId="00100289">
            <w:r>
              <w:t xml:space="preserve">1,295</w:t>
            </w:r>
          </w:p>
        </w:tc>
        <w:tc>
          <w:p w14:paraId="0010028A" w14:textId="0010028B">
            <w:r>
              <w:t xml:space="preserve">18,402</w:t>
            </w:r>
          </w:p>
        </w:tc>
        <w:tc>
          <w:p w14:paraId="0010028C" w14:textId="0010028D">
            <w:r>
              <w:t xml:space="preserve">7.0%</w:t>
            </w:r>
          </w:p>
        </w:tc>
      </w:tr>
    </w:tbl>
    <w:p w14:paraId="0010028E" w14:textId="0010028F">
      <w:pPr>
        <w:spacing w:before="160" w:after="200"/>
      </w:pPr>
      <w:r>
        <w:rPr>
          <w:sz w:val="22"/>
        </w:rPr>
        <w:t xml:space="preserve">RISK: Colombia's shipping cost consumes 9.1% of its sales revenue — nearly three times the global average of approximately 5.3%. For context, total shipping cost across all 2,000 orders is $25,804 against $484,559 in sales (5.3%). Emerging-market logistics pricing requires renegotiation or minimum-order thresholds in affected countries.</w:t>
      </w:r>
    </w:p>
    <w:p w14:paraId="00100290" w14:textId="00100291">
      <w:pPr>
        <w:pStyle w:val="Heading2"/>
        <w:spacing w:before="200" w:after="120"/>
      </w:pPr>
      <w:r>
        <w:rPr>
          <w:b/>
          <w:sz w:val="28"/>
        </w:rPr>
        <w:t xml:space="preserve">7.3 Low-Margin Products (Risk Radar)</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292" w14:textId="00100293">
            <w:r>
              <w:t xml:space="preserve">Product Name</w:t>
            </w:r>
          </w:p>
        </w:tc>
        <w:tc>
          <w:p w14:paraId="00100294" w14:textId="00100295">
            <w:r>
              <w:t xml:space="preserve">Total Sales ($)</w:t>
            </w:r>
          </w:p>
        </w:tc>
        <w:tc>
          <w:p w14:paraId="00100296" w14:textId="00100297">
            <w:r>
              <w:t xml:space="preserve">Total Profit ($)</w:t>
            </w:r>
          </w:p>
        </w:tc>
        <w:tc>
          <w:p w14:paraId="00100298" w14:textId="00100299">
            <w:r>
              <w:t xml:space="preserve">Profit Margin (%)</w:t>
            </w:r>
          </w:p>
        </w:tc>
      </w:tr>
      <w:tr>
        <w:trPr/>
        <w:tc>
          <w:p w14:paraId="0010029A" w14:textId="0010029B">
            <w:r>
              <w:t xml:space="preserve">Desk Organizer Set</w:t>
            </w:r>
          </w:p>
        </w:tc>
        <w:tc>
          <w:p w14:paraId="0010029C" w14:textId="0010029D">
            <w:r>
              <w:t xml:space="preserve">5,594</w:t>
            </w:r>
          </w:p>
        </w:tc>
        <w:tc>
          <w:p w14:paraId="0010029E" w14:textId="0010029F">
            <w:r>
              <w:t xml:space="preserve">1,350</w:t>
            </w:r>
          </w:p>
        </w:tc>
        <w:tc>
          <w:p w14:paraId="001002A0" w14:textId="001002A1">
            <w:r>
              <w:t xml:space="preserve">24.1%</w:t>
            </w:r>
          </w:p>
        </w:tc>
      </w:tr>
      <w:tr>
        <w:trPr/>
        <w:tc>
          <w:p w14:paraId="001002A2" w14:textId="001002A3">
            <w:r>
              <w:t xml:space="preserve">Monitor Riser Wood</w:t>
            </w:r>
          </w:p>
        </w:tc>
        <w:tc>
          <w:p w14:paraId="001002A4" w14:textId="001002A5">
            <w:r>
              <w:t xml:space="preserve">8,131</w:t>
            </w:r>
          </w:p>
        </w:tc>
        <w:tc>
          <w:p w14:paraId="001002A6" w14:textId="001002A7">
            <w:r>
              <w:t xml:space="preserve">2,011</w:t>
            </w:r>
          </w:p>
        </w:tc>
        <w:tc>
          <w:p w14:paraId="001002A8" w14:textId="001002A9">
            <w:r>
              <w:t xml:space="preserve">24.7%</w:t>
            </w:r>
          </w:p>
        </w:tc>
      </w:tr>
      <w:tr>
        <w:trPr/>
        <w:tc>
          <w:p w14:paraId="001002AA" w14:textId="001002AB">
            <w:r>
              <w:t xml:space="preserve">Tablet Stand Holder</w:t>
            </w:r>
          </w:p>
        </w:tc>
        <w:tc>
          <w:p w14:paraId="001002AC" w14:textId="001002AD">
            <w:r>
              <w:t xml:space="preserve">6,062</w:t>
            </w:r>
          </w:p>
        </w:tc>
        <w:tc>
          <w:p w14:paraId="001002AE" w14:textId="001002AF">
            <w:r>
              <w:t xml:space="preserve">1,511</w:t>
            </w:r>
          </w:p>
        </w:tc>
        <w:tc>
          <w:p w14:paraId="001002B0" w14:textId="001002B1">
            <w:r>
              <w:t xml:space="preserve">24.9%</w:t>
            </w:r>
          </w:p>
        </w:tc>
      </w:tr>
      <w:tr>
        <w:trPr/>
        <w:tc>
          <w:p w14:paraId="001002B2" w14:textId="001002B3">
            <w:r>
              <w:t xml:space="preserve">Tape Dispenser Heavy Duty</w:t>
            </w:r>
          </w:p>
        </w:tc>
        <w:tc>
          <w:p w14:paraId="001002B4" w14:textId="001002B5">
            <w:r>
              <w:t xml:space="preserve">3,059</w:t>
            </w:r>
          </w:p>
        </w:tc>
        <w:tc>
          <w:p w14:paraId="001002B6" w14:textId="001002B7">
            <w:r>
              <w:t xml:space="preserve">857</w:t>
            </w:r>
          </w:p>
        </w:tc>
        <w:tc>
          <w:p w14:paraId="001002B8" w14:textId="001002B9">
            <w:r>
              <w:t xml:space="preserve">28.0%</w:t>
            </w:r>
          </w:p>
        </w:tc>
      </w:tr>
      <w:tr>
        <w:trPr/>
        <w:tc>
          <w:p w14:paraId="001002BA" w14:textId="001002BB">
            <w:r>
              <w:t xml:space="preserve">Sports Water Bottle 750ml</w:t>
            </w:r>
          </w:p>
        </w:tc>
        <w:tc>
          <w:p w14:paraId="001002BC" w14:textId="001002BD">
            <w:r>
              <w:t xml:space="preserve">2,931</w:t>
            </w:r>
          </w:p>
        </w:tc>
        <w:tc>
          <w:p w14:paraId="001002BE" w14:textId="001002BF">
            <w:r>
              <w:t xml:space="preserve">832</w:t>
            </w:r>
          </w:p>
        </w:tc>
        <w:tc>
          <w:p w14:paraId="001002C0" w14:textId="001002C1">
            <w:r>
              <w:t xml:space="preserve">28.4%</w:t>
            </w:r>
          </w:p>
        </w:tc>
      </w:tr>
    </w:tbl>
    <w:p w14:paraId="001002C2" w14:textId="001002C3">
      <w:pPr>
        <w:spacing w:before="160" w:after="200"/>
      </w:pPr>
      <w:r>
        <w:rPr>
          <w:sz w:val="22"/>
        </w:rPr>
        <w:t xml:space="preserve">RISK: 7 of the 40 products carry a profit margin below 20%. The above table shows the bottom 5 among products with above-median sales volume (the most commercially relevant risk). The Sales vs Margin scatter chart in the dashboard visually places these products in the 'High Sales, Low Margin' quadrant using median crosshairs.</w:t>
      </w:r>
    </w:p>
    <w:p w14:paraId="001002C4" w14:textId="001002C5">
      <w:pPr>
        <w:pStyle w:val="Heading2"/>
        <w:spacing w:before="200" w:after="120"/>
      </w:pPr>
      <w:r>
        <w:rPr>
          <w:b/>
          <w:sz w:val="28"/>
        </w:rPr>
        <w:t xml:space="preserve">7.4 Office Supplies — High Volume, Low Return Opportunity</w:t>
      </w:r>
    </w:p>
    <w:p w14:paraId="001002C6" w14:textId="001002C7">
      <w:pPr>
        <w:spacing w:after="200"/>
      </w:pPr>
      <w:r>
        <w:rPr>
          <w:sz w:val="22"/>
        </w:rPr>
        <w:t xml:space="preserve">OPPORTUNITY/RISK: Office Supplies accounts for 513 orders (25.7% of all orders) but generates only $19,391 in sales (4.0% of total revenue) and a margin of 17.1%. This is the classic high-volume, low-value scenario. Management can either exit low-value SKUs to redirect fulfilment capacity, reprice to recover margin, or bundle with higher-margin Furniture and Technology items to improve basket economics.</w:t>
      </w:r>
    </w:p>
    <w:p w14:paraId="001002C8" w14:textId="001002C9">
      <w:pPr>
        <w:pStyle w:val="Heading2"/>
        <w:spacing w:before="200" w:after="120"/>
      </w:pPr>
      <w:r>
        <w:rPr>
          <w:b/>
          <w:sz w:val="28"/>
        </w:rPr>
        <w:t xml:space="preserve">7.5 Clothing &amp; Accessories — Scaling Opportunity</w:t>
      </w:r>
    </w:p>
    <w:p w14:paraId="001002CA" w14:textId="001002CB">
      <w:pPr>
        <w:spacing w:after="320"/>
      </w:pPr>
      <w:r>
        <w:rPr>
          <w:sz w:val="22"/>
        </w:rPr>
        <w:t xml:space="preserve">OPPORTUNITY: Clothing &amp; Accessories is the highest-margin category at 37.6% and represents only 14.3% of total sales. With a relatively small order count (413), it is under-indexed relative to its profitability potential. Expanding the product range and prioritising this category in marketing and promotional spend would yield the highest return per marketing dollar across the portfolio.</w:t>
      </w:r>
    </w:p>
    <w:p w14:paraId="001002CC" w14:textId="001002CD">
      <w:pPr>
        <w:pStyle w:val="Heading1"/>
        <w:spacing w:before="320" w:after="160"/>
      </w:pPr>
      <w:r>
        <w:rPr>
          <w:b/>
          <w:sz w:val="36"/>
        </w:rPr>
        <w:t xml:space="preserve">8. Section V — Management Actions</w:t>
      </w:r>
    </w:p>
    <w:p w14:paraId="001002CE" w14:textId="001002CF">
      <w:pPr>
        <w:spacing w:after="200"/>
      </w:pPr>
      <w:r>
        <w:rPr>
          <w:sz w:val="22"/>
        </w:rPr>
        <w:t xml:space="preserve">The Management Actions section of the dashboard presents 8 auto-calculated, data-driven insight cards. All statements below are grounded in computed results from the dataset; no unsupported claims are made. Each insight is colour-coded: green (opportunity), amber (watch), or red (risk).</w:t>
      </w:r>
    </w:p>
    <w:p w14:paraId="001002D0" w14:textId="001002D1">
      <w:pPr>
        <w:pStyle w:val="Heading2"/>
        <w:spacing w:before="200" w:after="120"/>
      </w:pPr>
      <w:r>
        <w:rPr>
          <w:b/>
          <w:sz w:val="28"/>
        </w:rPr>
        <w:t xml:space="preserve">Action 1 — Regional Growth: Prioritise Europe and North America</w:t>
      </w:r>
    </w:p>
    <w:p w14:paraId="001002D2" w14:textId="001002D3">
      <w:pPr>
        <w:spacing w:after="160"/>
      </w:pPr>
      <w:r>
        <w:rPr>
          <w:sz w:val="22"/>
        </w:rPr>
        <w:t xml:space="preserve">Europe leads in absolute sales ($137,006, margin 33.3%) and North America leads in margin (33.8%, $133,876 sales). Management should prioritise marketing investment and customer acquisition in both regions. Successful product mixes from these regions should be replicated in lower-performing markets such as Middle East &amp; Africa (30.8% margin).</w:t>
      </w:r>
    </w:p>
    <w:p w14:paraId="001002D4" w14:textId="001002D5">
      <w:pPr>
        <w:pStyle w:val="Heading2"/>
        <w:spacing w:before="200" w:after="120"/>
      </w:pPr>
      <w:r>
        <w:rPr>
          <w:b/>
          <w:sz w:val="28"/>
        </w:rPr>
        <w:t xml:space="preserve">Action 2 — Discount Governance: Establish Margin Floor Policy</w:t>
      </w:r>
    </w:p>
    <w:p w14:paraId="001002D6" w14:textId="001002D7">
      <w:pPr>
        <w:spacing w:after="160"/>
      </w:pPr>
      <w:r>
        <w:rPr>
          <w:sz w:val="22"/>
        </w:rPr>
        <w:t xml:space="preserve">Orders with no discount deliver a 38.7% margin; orders discounted at 21-30% deliver only 17.6% — a 21.1 percentage point erosion. Management should implement a formal discount approval policy with a minimum acceptable margin floor (recommended: 25%). Blanket promotional discounts above 10% should require senior approval. Targeted, segment-specific discounts are preferred over storewide promotions.</w:t>
      </w:r>
    </w:p>
    <w:p w14:paraId="001002D8" w14:textId="001002D9">
      <w:pPr>
        <w:pStyle w:val="Heading2"/>
        <w:spacing w:before="200" w:after="120"/>
      </w:pPr>
      <w:r>
        <w:rPr>
          <w:b/>
          <w:sz w:val="28"/>
        </w:rPr>
        <w:t xml:space="preserve">Action 3 — Logistics Renegotiation: High-Shipping Countries</w:t>
      </w:r>
    </w:p>
    <w:p w14:paraId="001002DA" w14:textId="001002DB">
      <w:pPr>
        <w:spacing w:after="160"/>
      </w:pPr>
      <w:r>
        <w:rPr>
          <w:sz w:val="22"/>
        </w:rPr>
        <w:t xml:space="preserve">Colombia (9.1%), UAE (8.8%), Nigeria (7.5%), South Africa (7.3%), and India (7.0%) all exceed the global shipping-to-sales ratio of 5.3%. Management should renegotiate carrier contracts for these five countries, consider consolidated shipment schedules, or introduce minimum order value thresholds ($150+ recommended) to offset disproportionate logistics costs.</w:t>
      </w:r>
    </w:p>
    <w:p w14:paraId="001002DC" w14:textId="001002DD">
      <w:pPr>
        <w:pStyle w:val="Heading2"/>
        <w:spacing w:before="200" w:after="120"/>
      </w:pPr>
      <w:r>
        <w:rPr>
          <w:b/>
          <w:sz w:val="28"/>
        </w:rPr>
        <w:t xml:space="preserve">Action 4 — Office Supplies Rationalisation</w:t>
      </w:r>
    </w:p>
    <w:p w14:paraId="001002DE" w14:textId="001002DF">
      <w:pPr>
        <w:spacing w:after="160"/>
      </w:pPr>
      <w:r>
        <w:rPr>
          <w:sz w:val="22"/>
        </w:rPr>
        <w:t xml:space="preserve">Office Supplies generates 513 orders (25.7% of all orders) but only $19,391 in sales (4.0% of revenue) at a 17.1% margin — the lowest of all four categories. A pricing review and SKU rationalisation are required. High-cost, low-price items should be repriced, discontinued, or bundled with Furniture or Technology to improve basket-level economics.</w:t>
      </w:r>
    </w:p>
    <w:p w14:paraId="001002E0" w14:textId="001002E1">
      <w:pPr>
        <w:pStyle w:val="Heading2"/>
        <w:spacing w:before="200" w:after="120"/>
      </w:pPr>
      <w:r>
        <w:rPr>
          <w:b/>
          <w:sz w:val="28"/>
        </w:rPr>
        <w:t xml:space="preserve">Action 5 — Scale Clothing &amp; Accessories</w:t>
      </w:r>
    </w:p>
    <w:p w14:paraId="001002E2" w14:textId="001002E3">
      <w:pPr>
        <w:spacing w:after="160"/>
      </w:pPr>
      <w:r>
        <w:rPr>
          <w:sz w:val="22"/>
        </w:rPr>
        <w:t xml:space="preserve">Clothing &amp; Accessories is the highest-margin category at 37.6% and is under-represented with only 413 orders. Management should expand the product range in this category, increase inventory depth for top-selling items, and feature it prominently in seasonal promotions and category landing pages to capture additional high-margin revenue.</w:t>
      </w:r>
    </w:p>
    <w:p w14:paraId="001002E4" w14:textId="001002E5">
      <w:pPr>
        <w:pStyle w:val="Heading2"/>
        <w:spacing w:before="200" w:after="120"/>
      </w:pPr>
      <w:r>
        <w:rPr>
          <w:b/>
          <w:sz w:val="28"/>
        </w:rPr>
        <w:t xml:space="preserve">Action 6 — Consumer Segment Retention Programme</w:t>
      </w:r>
    </w:p>
    <w:p w14:paraId="001002E6" w14:textId="001002E7">
      <w:pPr>
        <w:spacing w:after="160"/>
      </w:pPr>
      <w:r>
        <w:rPr>
          <w:sz w:val="22"/>
        </w:rPr>
        <w:t xml:space="preserve">The Consumer segment generates $256,288 (52.9% of sales), the highest margin (34.1%), and the highest average order value ($254.76). Management should invest in retention programmes for this segment — including personalised communications, loyalty incentives, and early-access promotions — while designing targeted acquisition campaigns to grow the Consumer cohort further.</w:t>
      </w:r>
    </w:p>
    <w:p w14:paraId="001002E8" w14:textId="001002E9">
      <w:pPr>
        <w:pStyle w:val="Heading2"/>
        <w:spacing w:before="200" w:after="120"/>
      </w:pPr>
      <w:r>
        <w:rPr>
          <w:b/>
          <w:sz w:val="28"/>
        </w:rPr>
        <w:t xml:space="preserve">Action 7 — Corporate Segment Margin Recovery</w:t>
      </w:r>
    </w:p>
    <w:p w14:paraId="001002EA" w14:textId="001002EB">
      <w:pPr>
        <w:spacing w:after="160"/>
      </w:pPr>
      <w:r>
        <w:rPr>
          <w:sz w:val="22"/>
        </w:rPr>
        <w:t xml:space="preserve">The Corporate segment has the lowest profit margin at 30.4% despite being the second-largest by revenue ($146,050). The gap versus Consumer (34.1%) suggests heavier discounting or a less profitable product mix in corporate accounts. Management should audit Corporate discount practices and review product mix for key accounts to close the margin gap.</w:t>
      </w:r>
    </w:p>
    <w:p w14:paraId="001002EC" w14:textId="001002ED">
      <w:pPr>
        <w:pStyle w:val="Heading2"/>
        <w:spacing w:before="200" w:after="120"/>
      </w:pPr>
      <w:r>
        <w:rPr>
          <w:b/>
          <w:sz w:val="28"/>
        </w:rPr>
        <w:t xml:space="preserve">Action 8 — Protect Top Products: Standing Desk Converter and Ergonomic Office Chair</w:t>
      </w:r>
    </w:p>
    <w:p w14:paraId="001002EE" w14:textId="001002EF">
      <w:pPr>
        <w:spacing w:after="320"/>
      </w:pPr>
      <w:r>
        <w:rPr>
          <w:sz w:val="22"/>
        </w:rPr>
        <w:t xml:space="preserve">The Standing Desk Converter ($46,614 sales) and Ergonomic Office Chair ($45,405 sales, $15,105 profit — highest of all products) are the two revenue and profit anchors of the portfolio. Management must ensure consistent stock availability, prominent placement in search and marketing, and strong cross-sell pairings with complementary products to protect this revenue base.</w:t>
      </w:r>
    </w:p>
    <w:p w14:paraId="001002F0" w14:textId="001002F1">
      <w:pPr>
        <w:spacing w:line="240" w:lineRule="auto"/>
      </w:pPr>
      <w:r>
        <w:rPr/>
        <w:drawing>
          <wp:inline distT="0" distB="0" distL="0" distR="0">
            <wp:extent cx="5760000" cy="3600000"/>
            <wp:effectExtent l="0" t="0" r="0" b="0"/>
            <wp:docPr id="1" name="01_header_kpis.png" descr=""/>
            <wp:cNvGraphicFramePr>
              <a:graphicFrameLocks noChangeAspect="1"/>
            </wp:cNvGraphicFramePr>
            <a:graphic>
              <a:graphicData uri="http://schemas.openxmlformats.org/drawingml/2006/picture">
                <pic:pic>
                  <pic:nvPicPr>
                    <pic:cNvPr id="1" name="01_header_kpis.png"/>
                    <pic:cNvPicPr/>
                  </pic:nvPicPr>
                  <pic:blipFill>
                    <a:blip r:embed="R22b8d4651e334ee5" cstate="print"/>
                    <a:stretch>
                      <a:fillRect/>
                    </a:stretch>
                  </pic:blipFill>
                  <pic:spPr>
                    <a:xfrm>
                      <a:off x="0" y="0"/>
                      <a:ext cx="5760000" cy="3600000"/>
                    </a:xfrm>
                    <a:prstGeom prst="rect">
                      <a:avLst/>
                    </a:prstGeom>
                  </pic:spPr>
                </pic:pic>
              </a:graphicData>
            </a:graphic>
          </wp:inline>
        </w:drawing>
      </w:r>
    </w:p>
    <w:p w14:paraId="001002F2" w14:textId="001002F3">
      <w:pPr>
        <w:spacing w:after="120"/>
      </w:pPr>
      <w:r>
        <w:rPr/>
        <w:t xml:space="preserve"/>
      </w:r>
    </w:p>
    <w:p w14:paraId="001002F4" w14:textId="001002F5">
      <w:pPr>
        <w:spacing w:line="240" w:lineRule="auto"/>
      </w:pPr>
      <w:r>
        <w:rPr/>
        <w:drawing>
          <wp:inline distT="0" distB="0" distL="0" distR="0">
            <wp:extent cx="5760000" cy="3600000"/>
            <wp:effectExtent l="0" t="0" r="0" b="0"/>
            <wp:docPr id="2" name="02_trends.png" descr=""/>
            <wp:cNvGraphicFramePr>
              <a:graphicFrameLocks noChangeAspect="1"/>
            </wp:cNvGraphicFramePr>
            <a:graphic>
              <a:graphicData uri="http://schemas.openxmlformats.org/drawingml/2006/picture">
                <pic:pic>
                  <pic:nvPicPr>
                    <pic:cNvPr id="2" name="02_trends.png"/>
                    <pic:cNvPicPr/>
                  </pic:nvPicPr>
                  <pic:blipFill>
                    <a:blip r:embed="R52f4851b9351437f" cstate="print"/>
                    <a:stretch>
                      <a:fillRect/>
                    </a:stretch>
                  </pic:blipFill>
                  <pic:spPr>
                    <a:xfrm>
                      <a:off x="0" y="0"/>
                      <a:ext cx="5760000" cy="3600000"/>
                    </a:xfrm>
                    <a:prstGeom prst="rect">
                      <a:avLst/>
                    </a:prstGeom>
                  </pic:spPr>
                </pic:pic>
              </a:graphicData>
            </a:graphic>
          </wp:inline>
        </w:drawing>
      </w:r>
    </w:p>
    <w:p w14:paraId="001002F6" w14:textId="001002F7">
      <w:pPr>
        <w:spacing w:after="120"/>
      </w:pPr>
      <w:r>
        <w:rPr/>
        <w:t xml:space="preserve"/>
      </w:r>
    </w:p>
    <w:p w14:paraId="001002F8" w14:textId="001002F9">
      <w:pPr>
        <w:spacing w:line="240" w:lineRule="auto"/>
      </w:pPr>
      <w:r>
        <w:rPr/>
        <w:drawing>
          <wp:inline distT="0" distB="0" distL="0" distR="0">
            <wp:extent cx="5760000" cy="3600000"/>
            <wp:effectExtent l="0" t="0" r="0" b="0"/>
            <wp:docPr id="3" name="03_drivers_region.png" descr=""/>
            <wp:cNvGraphicFramePr>
              <a:graphicFrameLocks noChangeAspect="1"/>
            </wp:cNvGraphicFramePr>
            <a:graphic>
              <a:graphicData uri="http://schemas.openxmlformats.org/drawingml/2006/picture">
                <pic:pic>
                  <pic:nvPicPr>
                    <pic:cNvPr id="3" name="03_drivers_region.png"/>
                    <pic:cNvPicPr/>
                  </pic:nvPicPr>
                  <pic:blipFill>
                    <a:blip r:embed="R7e471394d60449fd" cstate="print"/>
                    <a:stretch>
                      <a:fillRect/>
                    </a:stretch>
                  </pic:blipFill>
                  <pic:spPr>
                    <a:xfrm>
                      <a:off x="0" y="0"/>
                      <a:ext cx="5760000" cy="3600000"/>
                    </a:xfrm>
                    <a:prstGeom prst="rect">
                      <a:avLst/>
                    </a:prstGeom>
                  </pic:spPr>
                </pic:pic>
              </a:graphicData>
            </a:graphic>
          </wp:inline>
        </w:drawing>
      </w:r>
    </w:p>
    <w:p w14:paraId="001002FA" w14:textId="001002FB">
      <w:pPr>
        <w:spacing w:after="120"/>
      </w:pPr>
      <w:r>
        <w:rPr/>
        <w:t xml:space="preserve"/>
      </w:r>
    </w:p>
    <w:p w14:paraId="001002FC" w14:textId="001002FD">
      <w:pPr>
        <w:spacing w:line="240" w:lineRule="auto"/>
      </w:pPr>
      <w:r>
        <w:rPr/>
        <w:drawing>
          <wp:inline distT="0" distB="0" distL="0" distR="0">
            <wp:extent cx="5760000" cy="3600000"/>
            <wp:effectExtent l="0" t="0" r="0" b="0"/>
            <wp:docPr id="4" name="04_drivers_category.png" descr=""/>
            <wp:cNvGraphicFramePr>
              <a:graphicFrameLocks noChangeAspect="1"/>
            </wp:cNvGraphicFramePr>
            <a:graphic>
              <a:graphicData uri="http://schemas.openxmlformats.org/drawingml/2006/picture">
                <pic:pic>
                  <pic:nvPicPr>
                    <pic:cNvPr id="4" name="04_drivers_category.png"/>
                    <pic:cNvPicPr/>
                  </pic:nvPicPr>
                  <pic:blipFill>
                    <a:blip r:embed="Rc247f63f0af1416c" cstate="print"/>
                    <a:stretch>
                      <a:fillRect/>
                    </a:stretch>
                  </pic:blipFill>
                  <pic:spPr>
                    <a:xfrm>
                      <a:off x="0" y="0"/>
                      <a:ext cx="5760000" cy="3600000"/>
                    </a:xfrm>
                    <a:prstGeom prst="rect">
                      <a:avLst/>
                    </a:prstGeom>
                  </pic:spPr>
                </pic:pic>
              </a:graphicData>
            </a:graphic>
          </wp:inline>
        </w:drawing>
      </w:r>
    </w:p>
    <w:p w14:paraId="001002FE" w14:textId="001002FF">
      <w:pPr>
        <w:spacing w:after="120"/>
      </w:pPr>
      <w:r>
        <w:rPr/>
        <w:t xml:space="preserve"/>
      </w:r>
    </w:p>
    <w:p w14:paraId="00100300" w14:textId="00100301">
      <w:pPr>
        <w:spacing w:line="240" w:lineRule="auto"/>
      </w:pPr>
      <w:r>
        <w:rPr/>
        <w:drawing>
          <wp:inline distT="0" distB="0" distL="0" distR="0">
            <wp:extent cx="5760000" cy="3600000"/>
            <wp:effectExtent l="0" t="0" r="0" b="0"/>
            <wp:docPr id="5" name="05_drivers_products.png" descr=""/>
            <wp:cNvGraphicFramePr>
              <a:graphicFrameLocks noChangeAspect="1"/>
            </wp:cNvGraphicFramePr>
            <a:graphic>
              <a:graphicData uri="http://schemas.openxmlformats.org/drawingml/2006/picture">
                <pic:pic>
                  <pic:nvPicPr>
                    <pic:cNvPr id="5" name="05_drivers_products.png"/>
                    <pic:cNvPicPr/>
                  </pic:nvPicPr>
                  <pic:blipFill>
                    <a:blip r:embed="R7d3605b516244482" cstate="print"/>
                    <a:stretch>
                      <a:fillRect/>
                    </a:stretch>
                  </pic:blipFill>
                  <pic:spPr>
                    <a:xfrm>
                      <a:off x="0" y="0"/>
                      <a:ext cx="5760000" cy="3600000"/>
                    </a:xfrm>
                    <a:prstGeom prst="rect">
                      <a:avLst/>
                    </a:prstGeom>
                  </pic:spPr>
                </pic:pic>
              </a:graphicData>
            </a:graphic>
          </wp:inline>
        </w:drawing>
      </w:r>
    </w:p>
    <w:p w14:paraId="00100302" w14:textId="00100303">
      <w:pPr>
        <w:spacing w:after="120"/>
      </w:pPr>
      <w:r>
        <w:rPr/>
        <w:t xml:space="preserve"/>
      </w:r>
    </w:p>
    <w:p w14:paraId="00100304" w14:textId="00100305">
      <w:pPr>
        <w:spacing w:line="240" w:lineRule="auto"/>
      </w:pPr>
      <w:r>
        <w:rPr/>
        <w:drawing>
          <wp:inline distT="0" distB="0" distL="0" distR="0">
            <wp:extent cx="5760000" cy="3600000"/>
            <wp:effectExtent l="0" t="0" r="0" b="0"/>
            <wp:docPr id="6" name="06_drivers_segment.png" descr=""/>
            <wp:cNvGraphicFramePr>
              <a:graphicFrameLocks noChangeAspect="1"/>
            </wp:cNvGraphicFramePr>
            <a:graphic>
              <a:graphicData uri="http://schemas.openxmlformats.org/drawingml/2006/picture">
                <pic:pic>
                  <pic:nvPicPr>
                    <pic:cNvPr id="6" name="06_drivers_segment.png"/>
                    <pic:cNvPicPr/>
                  </pic:nvPicPr>
                  <pic:blipFill>
                    <a:blip r:embed="R73fbb48c045e4481" cstate="print"/>
                    <a:stretch>
                      <a:fillRect/>
                    </a:stretch>
                  </pic:blipFill>
                  <pic:spPr>
                    <a:xfrm>
                      <a:off x="0" y="0"/>
                      <a:ext cx="5760000" cy="3600000"/>
                    </a:xfrm>
                    <a:prstGeom prst="rect">
                      <a:avLst/>
                    </a:prstGeom>
                  </pic:spPr>
                </pic:pic>
              </a:graphicData>
            </a:graphic>
          </wp:inline>
        </w:drawing>
      </w:r>
    </w:p>
    <w:p w14:paraId="00100306" w14:textId="00100307">
      <w:pPr>
        <w:spacing w:after="120"/>
      </w:pPr>
      <w:r>
        <w:rPr/>
        <w:t xml:space="preserve"/>
      </w:r>
    </w:p>
    <w:p w14:paraId="00100308" w14:textId="00100309">
      <w:pPr>
        <w:spacing w:line="240" w:lineRule="auto"/>
      </w:pPr>
      <w:r>
        <w:rPr/>
        <w:drawing>
          <wp:inline distT="0" distB="0" distL="0" distR="0">
            <wp:extent cx="5760000" cy="3600000"/>
            <wp:effectExtent l="0" t="0" r="0" b="0"/>
            <wp:docPr id="7" name="07_risks_discount.png" descr=""/>
            <wp:cNvGraphicFramePr>
              <a:graphicFrameLocks noChangeAspect="1"/>
            </wp:cNvGraphicFramePr>
            <a:graphic>
              <a:graphicData uri="http://schemas.openxmlformats.org/drawingml/2006/picture">
                <pic:pic>
                  <pic:nvPicPr>
                    <pic:cNvPr id="7" name="07_risks_discount.png"/>
                    <pic:cNvPicPr/>
                  </pic:nvPicPr>
                  <pic:blipFill>
                    <a:blip r:embed="R30d3fe480d024fb1" cstate="print"/>
                    <a:stretch>
                      <a:fillRect/>
                    </a:stretch>
                  </pic:blipFill>
                  <pic:spPr>
                    <a:xfrm>
                      <a:off x="0" y="0"/>
                      <a:ext cx="5760000" cy="3600000"/>
                    </a:xfrm>
                    <a:prstGeom prst="rect">
                      <a:avLst/>
                    </a:prstGeom>
                  </pic:spPr>
                </pic:pic>
              </a:graphicData>
            </a:graphic>
          </wp:inline>
        </w:drawing>
      </w:r>
    </w:p>
    <w:p w14:paraId="0010030A" w14:textId="0010030B">
      <w:pPr>
        <w:spacing w:after="120"/>
      </w:pPr>
      <w:r>
        <w:rPr/>
        <w:t xml:space="preserve"/>
      </w:r>
    </w:p>
    <w:p w14:paraId="0010030C" w14:textId="0010030D">
      <w:pPr>
        <w:spacing w:line="240" w:lineRule="auto"/>
      </w:pPr>
      <w:r>
        <w:rPr/>
        <w:drawing>
          <wp:inline distT="0" distB="0" distL="0" distR="0">
            <wp:extent cx="5760000" cy="3600000"/>
            <wp:effectExtent l="0" t="0" r="0" b="0"/>
            <wp:docPr id="8" name="08_risks_shipping.png" descr=""/>
            <wp:cNvGraphicFramePr>
              <a:graphicFrameLocks noChangeAspect="1"/>
            </wp:cNvGraphicFramePr>
            <a:graphic>
              <a:graphicData uri="http://schemas.openxmlformats.org/drawingml/2006/picture">
                <pic:pic>
                  <pic:nvPicPr>
                    <pic:cNvPr id="8" name="08_risks_shipping.png"/>
                    <pic:cNvPicPr/>
                  </pic:nvPicPr>
                  <pic:blipFill>
                    <a:blip r:embed="Rcfef85fa04c34b07" cstate="print"/>
                    <a:stretch>
                      <a:fillRect/>
                    </a:stretch>
                  </pic:blipFill>
                  <pic:spPr>
                    <a:xfrm>
                      <a:off x="0" y="0"/>
                      <a:ext cx="5760000" cy="3600000"/>
                    </a:xfrm>
                    <a:prstGeom prst="rect">
                      <a:avLst/>
                    </a:prstGeom>
                  </pic:spPr>
                </pic:pic>
              </a:graphicData>
            </a:graphic>
          </wp:inline>
        </w:drawing>
      </w:r>
    </w:p>
    <w:p w14:paraId="0010030E" w14:textId="0010030F">
      <w:pPr>
        <w:spacing w:after="120"/>
      </w:pPr>
      <w:r>
        <w:rPr/>
        <w:t xml:space="preserve"/>
      </w:r>
    </w:p>
    <w:p w14:paraId="00100310" w14:textId="00100311">
      <w:pPr>
        <w:spacing w:line="240" w:lineRule="auto"/>
      </w:pPr>
      <w:r>
        <w:rPr/>
        <w:drawing>
          <wp:inline distT="0" distB="0" distL="0" distR="0">
            <wp:extent cx="5760000" cy="3600000"/>
            <wp:effectExtent l="0" t="0" r="0" b="0"/>
            <wp:docPr id="9" name="09_risks_scatter.png" descr=""/>
            <wp:cNvGraphicFramePr>
              <a:graphicFrameLocks noChangeAspect="1"/>
            </wp:cNvGraphicFramePr>
            <a:graphic>
              <a:graphicData uri="http://schemas.openxmlformats.org/drawingml/2006/picture">
                <pic:pic>
                  <pic:nvPicPr>
                    <pic:cNvPr id="9" name="09_risks_scatter.png"/>
                    <pic:cNvPicPr/>
                  </pic:nvPicPr>
                  <pic:blipFill>
                    <a:blip r:embed="R9b565542fc084da5" cstate="print"/>
                    <a:stretch>
                      <a:fillRect/>
                    </a:stretch>
                  </pic:blipFill>
                  <pic:spPr>
                    <a:xfrm>
                      <a:off x="0" y="0"/>
                      <a:ext cx="5760000" cy="3600000"/>
                    </a:xfrm>
                    <a:prstGeom prst="rect">
                      <a:avLst/>
                    </a:prstGeom>
                  </pic:spPr>
                </pic:pic>
              </a:graphicData>
            </a:graphic>
          </wp:inline>
        </w:drawing>
      </w:r>
    </w:p>
    <w:p w14:paraId="00100312" w14:textId="00100313">
      <w:pPr>
        <w:spacing w:after="120"/>
      </w:pPr>
      <w:r>
        <w:rPr/>
        <w:t xml:space="preserve"/>
      </w:r>
    </w:p>
    <w:p w14:paraId="00100314" w14:textId="00100315">
      <w:pPr>
        <w:spacing w:line="240" w:lineRule="auto"/>
      </w:pPr>
      <w:r>
        <w:rPr/>
        <w:drawing>
          <wp:inline distT="0" distB="0" distL="0" distR="0">
            <wp:extent cx="5760000" cy="3600000"/>
            <wp:effectExtent l="0" t="0" r="0" b="0"/>
            <wp:docPr id="10" name="10_actions.png" descr=""/>
            <wp:cNvGraphicFramePr>
              <a:graphicFrameLocks noChangeAspect="1"/>
            </wp:cNvGraphicFramePr>
            <a:graphic>
              <a:graphicData uri="http://schemas.openxmlformats.org/drawingml/2006/picture">
                <pic:pic>
                  <pic:nvPicPr>
                    <pic:cNvPr id="10" name="10_actions.png"/>
                    <pic:cNvPicPr/>
                  </pic:nvPicPr>
                  <pic:blipFill>
                    <a:blip r:embed="Rf7d50b005e9b4673" cstate="print"/>
                    <a:stretch>
                      <a:fillRect/>
                    </a:stretch>
                  </pic:blipFill>
                  <pic:spPr>
                    <a:xfrm>
                      <a:off x="0" y="0"/>
                      <a:ext cx="5760000" cy="3600000"/>
                    </a:xfrm>
                    <a:prstGeom prst="rect">
                      <a:avLst/>
                    </a:prstGeom>
                  </pic:spPr>
                </pic:pic>
              </a:graphicData>
            </a:graphic>
          </wp:inline>
        </w:drawing>
      </w:r>
    </w:p>
    <w:p w14:paraId="00100316" w14:textId="00100317">
      <w:pPr>
        <w:spacing w:after="120"/>
      </w:pPr>
      <w:r>
        <w:rPr/>
        <w:t xml:space="preserve"/>
      </w:r>
    </w:p>
    <w:p w14:paraId="00100318" w14:textId="00100319">
      <w:pPr>
        <w:spacing w:line="240" w:lineRule="auto"/>
      </w:pPr>
      <w:r>
        <w:rPr/>
        <w:drawing>
          <wp:inline distT="0" distB="0" distL="0" distR="0">
            <wp:extent cx="2520000" cy="7688135"/>
            <wp:effectExtent l="0" t="0" r="0" b="0"/>
            <wp:docPr id="11" name="11_sidebar.png" descr=""/>
            <wp:cNvGraphicFramePr>
              <a:graphicFrameLocks noChangeAspect="1"/>
            </wp:cNvGraphicFramePr>
            <a:graphic>
              <a:graphicData uri="http://schemas.openxmlformats.org/drawingml/2006/picture">
                <pic:pic>
                  <pic:nvPicPr>
                    <pic:cNvPr id="11" name="11_sidebar.png"/>
                    <pic:cNvPicPr/>
                  </pic:nvPicPr>
                  <pic:blipFill>
                    <a:blip r:embed="Rf2c8b47272194edb" cstate="print"/>
                    <a:stretch>
                      <a:fillRect/>
                    </a:stretch>
                  </pic:blipFill>
                  <pic:spPr>
                    <a:xfrm>
                      <a:off x="0" y="0"/>
                      <a:ext cx="2520000" cy="7688135"/>
                    </a:xfrm>
                    <a:prstGeom prst="rect">
                      <a:avLst/>
                    </a:prstGeom>
                  </pic:spPr>
                </pic:pic>
              </a:graphicData>
            </a:graphic>
          </wp:inline>
        </w:drawing>
      </w:r>
    </w:p>
    <w:p w14:paraId="0010031A" w14:textId="0010031B">
      <w:pPr>
        <w:spacing w:after="200"/>
        <w:jc w:val="center"/>
      </w:pPr>
      <w:r>
        <w:rPr>
          <w:color w:val="555555"/>
          <w:sz w:val="18"/>
        </w:rPr>
        <w:t xml:space="preserve">Figure 1: Dashboard header — KPI cards: Total Sales $484.6K · Total Profit $158.9K · Total Orders 2,000 · Total Qty Sold 7,115 · Avg Order Value $242.28 · Profit Margin 32.8%.</w:t>
      </w:r>
    </w:p>
    <w:p w14:paraId="0010031C" w14:textId="0010031D">
      <w:pPr>
        <w:spacing w:after="200"/>
        <w:jc w:val="center"/>
      </w:pPr>
      <w:r>
        <w:rPr>
          <w:color w:val="555555"/>
          <w:sz w:val="18"/>
        </w:rPr>
        <w:t xml:space="preserve">Figure 2: Section II — Monthly Sales vs Profit 36-month line chart (left) and Monthly Order Volume + Profit Margin % dual-axis combo chart (right).</w:t>
      </w:r>
    </w:p>
    <w:p w14:paraId="0010031E" w14:textId="0010031F">
      <w:pPr>
        <w:spacing w:after="200"/>
        <w:jc w:val="center"/>
      </w:pPr>
      <w:r>
        <w:rPr>
          <w:color w:val="555555"/>
          <w:sz w:val="18"/>
        </w:rPr>
        <w:t xml:space="preserve">Figure 3: Section III — Sales and Profit by Region (left) and Top 15 Countries by Sales (right). Europe leads in total sales; North America leads in margin at 33.8%.</w:t>
      </w:r>
    </w:p>
    <w:p w14:paraId="00100320" w14:textId="00100321">
      <w:pPr>
        <w:spacing w:after="200"/>
        <w:jc w:val="center"/>
      </w:pPr>
      <w:r>
        <w:rPr>
          <w:color w:val="555555"/>
          <w:sz w:val="18"/>
        </w:rPr>
        <w:t xml:space="preserve">Figure 4: Section III — Category Sales and Profit grouped bar (left) and Profit Margin % by Category colour-coded bar (right). Clothing and Accessories 37.6%; Office Supplies 17.1%.</w:t>
      </w:r>
    </w:p>
    <w:p w14:paraId="00100322" w14:textId="00100323">
      <w:pPr>
        <w:spacing w:after="200"/>
        <w:jc w:val="center"/>
      </w:pPr>
      <w:r>
        <w:rPr>
          <w:color w:val="555555"/>
          <w:sz w:val="18"/>
        </w:rPr>
        <w:t xml:space="preserve">Figure 5: Section III — Top 10 Products by Sales (left) and by Profit (right). Standing Desk Converter $46,614 in sales; Ergonomic Office Chair $15,105 in profit.</w:t>
      </w:r>
    </w:p>
    <w:p w14:paraId="00100324" w14:textId="00100325">
      <w:pPr>
        <w:spacing w:after="200"/>
        <w:jc w:val="center"/>
      </w:pPr>
      <w:r>
        <w:rPr>
          <w:color w:val="555555"/>
          <w:sz w:val="18"/>
        </w:rPr>
        <w:t xml:space="preserve">Figure 6: Section III — Customer Segment performance with margin overlay (left) and Payment Method sales share donut chart (right). Credit Card leads at 39.8%.</w:t>
      </w:r>
    </w:p>
    <w:p w14:paraId="00100326" w14:textId="00100327">
      <w:pPr>
        <w:spacing w:after="200"/>
        <w:jc w:val="center"/>
      </w:pPr>
      <w:r>
        <w:rPr>
          <w:color w:val="555555"/>
          <w:sz w:val="18"/>
        </w:rPr>
        <w:t xml:space="preserve">Figure 7: Section IV — High-shipping countries by shipping-to-sales % (left) and Category Risk Matrix bubble scatter (right). Colombia highest at 9.1%.</w:t>
      </w:r>
    </w:p>
    <w:p w14:paraId="00100328" w14:textId="00100329">
      <w:pPr>
        <w:spacing w:after="200"/>
        <w:jc w:val="center"/>
      </w:pPr>
      <w:r>
        <w:rPr>
          <w:color w:val="555555"/>
          <w:sz w:val="18"/>
        </w:rPr>
        <w:t xml:space="preserve">Figure 8: Section IV — Shipping Cost by Region and Category stacked bar (left) and Lowest-Margin Products horizontal bar (right).</w:t>
      </w:r>
    </w:p>
    <w:p w14:paraId="0010032A" w14:textId="0010032B">
      <w:pPr>
        <w:spacing w:after="200"/>
        <w:jc w:val="center"/>
      </w:pPr>
      <w:r>
        <w:rPr>
          <w:color w:val="555555"/>
          <w:sz w:val="18"/>
        </w:rPr>
        <w:t xml:space="preserve">Figure 9: Section IV — Discount Level vs Profit and Margin combo chart (left) and Sales vs Profit Margin bubble scatter with quadrant lines (right). Lower-right quadrant = high-sales, low-margin risk.</w:t>
      </w:r>
    </w:p>
    <w:p w14:paraId="0010032C" w14:textId="0010032D">
      <w:pPr>
        <w:spacing w:after="200"/>
        <w:jc w:val="center"/>
      </w:pPr>
      <w:r>
        <w:rPr>
          <w:color w:val="555555"/>
          <w:sz w:val="18"/>
        </w:rPr>
        <w:t xml:space="preserve">Figure 10: Section V — Management Actions: 8 colour-coded insight cards (green = opportunity, amber = watch, red = risk) with auto-calculated data-driven findings. Dashboard footer visible at bottom.</w:t>
      </w:r>
    </w:p>
    <w:p w14:paraId="0010032E" w14:textId="0010032F">
      <w:pPr>
        <w:spacing w:after="320"/>
        <w:jc w:val="center"/>
      </w:pPr>
      <w:r>
        <w:rPr>
          <w:color w:val="555555"/>
          <w:sz w:val="18"/>
        </w:rPr>
        <w:t xml:space="preserve">Figure 11: Sidebar — All 6 interactive filters. Every chart and KPI updates instantly on any filter change.</w:t>
      </w:r>
    </w:p>
    <w:p w14:paraId="00100330" w14:textId="00100331">
      <w:pPr>
        <w:pStyle w:val="Heading1"/>
        <w:spacing w:before="320" w:after="160"/>
      </w:pPr>
      <w:r>
        <w:rPr>
          <w:b/>
          <w:sz w:val="36"/>
        </w:rPr>
        <w:t xml:space="preserve">Appendix — Project Files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332" w14:textId="00100333">
            <w:r>
              <w:t xml:space="preserve">File</w:t>
            </w:r>
          </w:p>
        </w:tc>
        <w:tc>
          <w:p w14:paraId="00100334" w14:textId="00100335">
            <w:r>
              <w:t xml:space="preserve">Location</w:t>
            </w:r>
          </w:p>
        </w:tc>
        <w:tc>
          <w:p w14:paraId="00100336" w14:textId="00100337">
            <w:r>
              <w:t xml:space="preserve">Description</w:t>
            </w:r>
          </w:p>
        </w:tc>
      </w:tr>
      <w:tr>
        <w:trPr/>
        <w:tc>
          <w:p w14:paraId="00100338" w14:textId="00100339">
            <w:r>
              <w:t xml:space="preserve">app.py</w:t>
            </w:r>
          </w:p>
        </w:tc>
        <w:tc>
          <w:p w14:paraId="0010033A" w14:textId="0010033B">
            <w:r>
              <w:t xml:space="preserve">ecommerce_bi_dashboard/</w:t>
            </w:r>
          </w:p>
        </w:tc>
        <w:tc>
          <w:p w14:paraId="0010033C" w14:textId="0010033D">
            <w:r>
              <w:t xml:space="preserve">Main Streamlit dashboard application</w:t>
            </w:r>
          </w:p>
        </w:tc>
      </w:tr>
      <w:tr>
        <w:trPr/>
        <w:tc>
          <w:p w14:paraId="0010033E" w14:textId="0010033F">
            <w:r>
              <w:t xml:space="preserve">requirements.txt</w:t>
            </w:r>
          </w:p>
        </w:tc>
        <w:tc>
          <w:p w14:paraId="00100340" w14:textId="00100341">
            <w:r>
              <w:t xml:space="preserve">ecommerce_bi_dashboard/</w:t>
            </w:r>
          </w:p>
        </w:tc>
        <w:tc>
          <w:p w14:paraId="00100342" w14:textId="00100343">
            <w:r>
              <w:t xml:space="preserve">Python dependencies: streamlit, pandas, plotly</w:t>
            </w:r>
          </w:p>
        </w:tc>
      </w:tr>
      <w:tr>
        <w:trPr/>
        <w:tc>
          <w:p w14:paraId="00100344" w14:textId="00100345">
            <w:r>
              <w:t xml:space="preserve">README.md</w:t>
            </w:r>
          </w:p>
        </w:tc>
        <w:tc>
          <w:p w14:paraId="00100346" w14:textId="00100347">
            <w:r>
              <w:t xml:space="preserve">ecommerce_bi_dashboard/</w:t>
            </w:r>
          </w:p>
        </w:tc>
        <w:tc>
          <w:p w14:paraId="00100348" w14:textId="00100349">
            <w:r>
              <w:t xml:space="preserve">Setup instructions, stack overview, dataset URL</w:t>
            </w:r>
          </w:p>
        </w:tc>
      </w:tr>
      <w:tr>
        <w:trPr/>
        <w:tc>
          <w:p w14:paraId="0010034A" w14:textId="0010034B">
            <w:r>
              <w:t xml:space="preserve">global_ecommerce_sales.csv</w:t>
            </w:r>
          </w:p>
        </w:tc>
        <w:tc>
          <w:p w14:paraId="0010034C" w14:textId="0010034D">
            <w:r>
              <w:t xml:space="preserve">ecommerce_bi_dashboard/data/</w:t>
            </w:r>
          </w:p>
        </w:tc>
        <w:tc>
          <w:p w14:paraId="0010034E" w14:textId="0010034F">
            <w:r>
              <w:t xml:space="preserve">Source dataset: 2,000 records, 15 fields, 2023-2025</w:t>
            </w:r>
          </w:p>
        </w:tc>
      </w:tr>
    </w:tbl>
    <w:p w14:paraId="00100350" w14:textId="00100351">
      <w:pPr>
        <w:spacing w:before="200" w:after="80"/>
      </w:pPr>
      <w:r>
        <w:rPr>
          <w:color w:val="1155CC"/>
          <w:sz w:val="20"/>
        </w:rPr>
        <w:t xml:space="preserve">Dataset: https://www.kaggle.com/datasets/muhammadaammartufail/global-ecommerce-sales-and-customer-data</w:t>
      </w:r>
    </w:p>
    <w:p w14:paraId="00100352" w14:textId="00100353">
      <w:pPr>
        <w:spacing w:after="400"/>
      </w:pPr>
      <w:r>
        <w:rPr>
          <w:sz w:val="20"/>
        </w:rPr>
        <w:t xml:space="preserve">Run command:  streamlit run app.py   |   Local URL: http://localhost:8501</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c8a7c8dc5a7d459b" /><Relationship Type="http://schemas.openxmlformats.org/officeDocument/2006/relationships/styles" Target="/word/styles.xml" Id="R71b0038faf844742" /><Relationship Type="http://schemas.openxmlformats.org/officeDocument/2006/relationships/theme" Target="/word/theme/theme1.xml" Id="R5fcec919030c499b" /><Relationship Type="http://schemas.openxmlformats.org/officeDocument/2006/relationships/numbering" Target="/word/numbering.xml" Id="R322519e84371431d" /><Relationship Type="http://schemas.openxmlformats.org/officeDocument/2006/relationships/image" Target="/media/image.png" Id="R22b8d4651e334ee5" /><Relationship Type="http://schemas.openxmlformats.org/officeDocument/2006/relationships/image" Target="/media/image2.png" Id="R52f4851b9351437f" /><Relationship Type="http://schemas.openxmlformats.org/officeDocument/2006/relationships/image" Target="/media/image3.png" Id="R7e471394d60449fd" /><Relationship Type="http://schemas.openxmlformats.org/officeDocument/2006/relationships/image" Target="/media/image4.png" Id="Rc247f63f0af1416c" /><Relationship Type="http://schemas.openxmlformats.org/officeDocument/2006/relationships/image" Target="/media/image5.png" Id="R7d3605b516244482" /><Relationship Type="http://schemas.openxmlformats.org/officeDocument/2006/relationships/image" Target="/media/image6.png" Id="R73fbb48c045e4481" /><Relationship Type="http://schemas.openxmlformats.org/officeDocument/2006/relationships/image" Target="/media/image7.png" Id="R30d3fe480d024fb1" /><Relationship Type="http://schemas.openxmlformats.org/officeDocument/2006/relationships/image" Target="/media/image8.png" Id="Rcfef85fa04c34b07" /><Relationship Type="http://schemas.openxmlformats.org/officeDocument/2006/relationships/image" Target="/media/image9.png" Id="R9b565542fc084da5" /><Relationship Type="http://schemas.openxmlformats.org/officeDocument/2006/relationships/image" Target="/media/image10.png" Id="Rf7d50b005e9b4673" /><Relationship Type="http://schemas.openxmlformats.org/officeDocument/2006/relationships/image" Target="/media/image11.png" Id="Rf2c8b47272194ed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2026-09-23T16:25:59Z</dcterms:created>
  <cp:lastModifiedBy>OfficeCLI</cp:lastModifiedBy>
  <dcterms:modified xsi:type="dcterms:W3CDTF">2026-09-23T16:25:59Z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2026-09-23T17:08:31Z</vt:lpwstr>
  </op:property>
</op:Properties>
</file>