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B365D"/>
          <w:sz w:val="44"/>
        </w:rPr>
        <w:t>Fraud Detection System: Target Architecture vs. Codebase Audit &amp; Action Plan</w:t>
      </w:r>
    </w:p>
    <w:p>
      <w:pPr>
        <w:spacing w:after="480"/>
        <w:jc w:val="center"/>
      </w:pPr>
      <w:r>
        <w:rPr>
          <w:rFonts w:ascii="Arial" w:hAnsi="Arial"/>
          <w:i/>
          <w:color w:val="666666"/>
          <w:sz w:val="24"/>
        </w:rPr>
        <w:t>Adey Innovations Inc. | Business Vision Alignment &amp; Technical Gap Analysis</w:t>
      </w:r>
    </w:p>
    <w:p>
      <w:pPr>
        <w:pStyle w:val="Heading1"/>
        <w:keepNext/>
        <w:spacing w:before="280" w:after="120"/>
      </w:pPr>
      <w:r>
        <w:rPr>
          <w:b/>
          <w:color w:val="1B365D"/>
          <w:sz w:val="36"/>
        </w:rPr>
        <w:t>1. Executive Summary &amp; Target Vision</w:t>
      </w:r>
    </w:p>
    <w:p>
      <w:pPr>
        <w:spacing w:after="200" w:line="276" w:lineRule="auto"/>
      </w:pPr>
      <w:r>
        <w:t>Based on the official project specification ('Building a Robust Fraud Detection System: Protecting Revenue, Enhancing Trust, and Driving Business Impact'), the objective for Adey Innovations Inc. is to establish an end-to-end, high-precision fraud detection engine operating across e-commerce and banking channels. The system aims to achieve strong statistical performance (ROC-AUC ~0.976, AUC-PR ~0.94–0.985) while providing transparent transaction explanations using SHAP and enabling real-time monitoring via an interactive dashboard.</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type="dxa" w:w="200"/>
            </w:tcMar>
            <w:tcBorders>
              <w:left w:val="single" w:sz="24" w:space="0" w:color="1B365D"/>
              <w:top w:val="none"/>
              <w:right w:val="none"/>
              <w:bottom w:val="none"/>
            </w:tcBorders>
          </w:tcPr>
          <w:p>
            <w:pPr>
              <w:spacing w:before="40" w:after="40"/>
            </w:pPr>
            <w:r>
              <w:rPr>
                <w:b/>
                <w:color w:val="1B365D"/>
                <w:sz w:val="22"/>
              </w:rPr>
              <w:t>📌 Key Target Performance &amp; Business Milestones</w:t>
              <w:br/>
            </w:r>
            <w:r>
              <w:rPr>
                <w:color w:val="222222"/>
                <w:sz w:val="21"/>
              </w:rPr>
              <w:t>• Target Metrics: Achieve ROC-AUC &gt;= 0.97 and Average Precision (AUC-PR) &gt;= 0.94.</w:t>
              <w:br/>
              <w:t>• Financial Protection: Estimated 30% reduction in direct fraud losses and chargeback penalties.</w:t>
              <w:br/>
              <w:t>• User Trust: Reduce false positives by 25% to protect legitimate user transactions.</w:t>
              <w:br/>
              <w:t>• Core Behavioral Signals: Capture rapid spending (spending_speed), early signup risk (is_new_user), transaction velocity, and high spending spikes (is_rapid_spender).</w:t>
              <w:br/>
              <w:t>• Real-Time Monitoring Dashboard: Allow uploading raw transaction data CSVs for immediate predictions, fraud risk scoring, and interactive SHAP feature explanations.</w:t>
            </w:r>
          </w:p>
        </w:tc>
      </w:tr>
    </w:tbl>
    <w:p>
      <w:pPr>
        <w:spacing w:after="120"/>
      </w:pPr>
    </w:p>
    <w:p>
      <w:pPr>
        <w:pStyle w:val="Heading1"/>
        <w:keepNext/>
        <w:spacing w:before="280" w:after="120"/>
      </w:pPr>
      <w:r>
        <w:rPr>
          <w:b/>
          <w:color w:val="1B365D"/>
          <w:sz w:val="36"/>
        </w:rPr>
        <w:t>2. Gap Analysis: Target Document vs. Current Codebase Implementation</w:t>
      </w:r>
    </w:p>
    <w:p>
      <w:r>
        <w:t>A rigorous audit comparing the target requirements in the specification document against the existing workspace code reveals significant alignment gaps, missing features, and technical contradictions: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B365D"/>
            <w:tcMar>
              <w:top w:w="120" w:type="dxa"/>
              <w:bottom w:w="120" w:type="dxa"/>
              <w:left w:w="80" w:type="dxa"/>
              <w:right w:type="dxa" w:w="80"/>
            </w:tcMar>
          </w:tcPr>
          <w:p>
            <w:pPr>
              <w:jc w:val="left"/>
            </w:pPr>
            <w:r>
              <w:rPr>
                <w:b/>
                <w:color w:val="FFFFFF"/>
                <w:sz w:val="19"/>
              </w:rPr>
              <w:t>Feature / Requirement</w:t>
            </w:r>
          </w:p>
        </w:tc>
        <w:tc>
          <w:tcPr>
            <w:tcW w:type="dxa" w:w="2340"/>
            <w:shd w:fill="1B365D"/>
            <w:tcMar>
              <w:top w:w="120" w:type="dxa"/>
              <w:bottom w:w="120" w:type="dxa"/>
              <w:left w:w="80" w:type="dxa"/>
              <w:right w:type="dxa" w:w="80"/>
            </w:tcMar>
          </w:tcPr>
          <w:p>
            <w:pPr>
              <w:jc w:val="left"/>
            </w:pPr>
            <w:r>
              <w:rPr>
                <w:b/>
                <w:color w:val="FFFFFF"/>
                <w:sz w:val="19"/>
              </w:rPr>
              <w:t>Target Specification (Aim Document)</w:t>
            </w:r>
          </w:p>
        </w:tc>
        <w:tc>
          <w:tcPr>
            <w:tcW w:type="dxa" w:w="2340"/>
            <w:shd w:fill="1B365D"/>
            <w:tcMar>
              <w:top w:w="120" w:type="dxa"/>
              <w:bottom w:w="120" w:type="dxa"/>
              <w:left w:w="80" w:type="dxa"/>
              <w:right w:type="dxa" w:w="80"/>
            </w:tcMar>
          </w:tcPr>
          <w:p>
            <w:pPr>
              <w:jc w:val="left"/>
            </w:pPr>
            <w:r>
              <w:rPr>
                <w:b/>
                <w:color w:val="FFFFFF"/>
                <w:sz w:val="19"/>
              </w:rPr>
              <w:t>Current Codebase State</w:t>
            </w:r>
          </w:p>
        </w:tc>
        <w:tc>
          <w:tcPr>
            <w:tcW w:type="dxa" w:w="2340"/>
            <w:shd w:fill="1B365D"/>
            <w:tcMar>
              <w:top w:w="120" w:type="dxa"/>
              <w:bottom w:w="120" w:type="dxa"/>
              <w:left w:w="80" w:type="dxa"/>
              <w:right w:type="dxa" w:w="80"/>
            </w:tcMar>
          </w:tcPr>
          <w:p>
            <w:pPr>
              <w:jc w:val="left"/>
            </w:pPr>
            <w:r>
              <w:rPr>
                <w:b/>
                <w:color w:val="FFFFFF"/>
                <w:sz w:val="19"/>
              </w:rPr>
              <w:t>Alignment Status</w:t>
            </w:r>
          </w:p>
        </w:tc>
      </w:tr>
      <w:tr>
        <w:tc>
          <w:tcPr>
            <w:tcW w:type="dxa" w:w="2340"/>
            <w:shd w:fill="F9FAFB"/>
            <w:tcMar>
              <w:top w:w="100" w:type="dxa"/>
              <w:bottom w:w="100" w:type="dxa"/>
              <w:left w:w="80" w:type="dxa"/>
              <w:right w:type="dxa" w:w="80"/>
            </w:tcMar>
          </w:tcPr>
          <w:p>
            <w:r>
              <w:rPr>
                <w:sz w:val="18"/>
              </w:rPr>
              <w:t>SMOTE Resampling &amp; Data Leakage</w:t>
            </w:r>
          </w:p>
        </w:tc>
        <w:tc>
          <w:tcPr>
            <w:tcW w:type="dxa" w:w="2340"/>
            <w:shd w:fill="F9FAFB"/>
            <w:tcMar>
              <w:top w:w="100" w:type="dxa"/>
              <w:bottom w:w="100" w:type="dxa"/>
              <w:left w:w="80" w:type="dxa"/>
              <w:right w:type="dxa" w:w="80"/>
            </w:tcMar>
          </w:tcPr>
          <w:p>
            <w:r>
              <w:rPr>
                <w:sz w:val="18"/>
              </w:rPr>
              <w:t>Document explicitly specifies applying SMOTE strictly to training data to prevent leakage.</w:t>
            </w:r>
          </w:p>
        </w:tc>
        <w:tc>
          <w:tcPr>
            <w:tcW w:type="dxa" w:w="2340"/>
            <w:shd w:fill="F9FAFB"/>
            <w:tcMar>
              <w:top w:w="100" w:type="dxa"/>
              <w:bottom w:w="100" w:type="dxa"/>
              <w:left w:w="80" w:type="dxa"/>
              <w:right w:type="dxa" w:w="80"/>
            </w:tcMar>
          </w:tcPr>
          <w:p>
            <w:r>
              <w:rPr>
                <w:sz w:val="18"/>
              </w:rPr>
              <w:t>preprocessor.py applies SMOTE globally before train-test split, creating severe data leakage.</w:t>
            </w:r>
          </w:p>
        </w:tc>
        <w:tc>
          <w:tcPr>
            <w:tcW w:type="dxa" w:w="2340"/>
            <w:shd w:fill="F9FAFB"/>
            <w:tcMar>
              <w:top w:w="100" w:type="dxa"/>
              <w:bottom w:w="100" w:type="dxa"/>
              <w:left w:w="80" w:type="dxa"/>
              <w:right w:type="dxa" w:w="80"/>
            </w:tcMar>
          </w:tcPr>
          <w:p>
            <w:r>
              <w:rPr>
                <w:b/>
                <w:color w:val="990000"/>
                <w:sz w:val="18"/>
              </w:rPr>
              <w:t>❌ CONTRADICTION</w:t>
              <w:br/>
              <w:t>(Critical Bug)</w:t>
            </w:r>
          </w:p>
        </w:tc>
      </w:tr>
      <w:tr>
        <w:tc>
          <w:tcPr>
            <w:tcW w:type="dxa" w:w="2340"/>
            <w:shd w:fill="FFFFFF"/>
            <w:tcMar>
              <w:top w:w="100" w:type="dxa"/>
              <w:bottom w:w="100" w:type="dxa"/>
              <w:left w:w="80" w:type="dxa"/>
              <w:right w:type="dxa" w:w="80"/>
            </w:tcMar>
          </w:tcPr>
          <w:p>
            <w:r>
              <w:rPr>
                <w:sz w:val="18"/>
              </w:rPr>
              <w:t>Key Engineered Features (is_new_user, is_rapid_spender)</w:t>
            </w:r>
          </w:p>
        </w:tc>
        <w:tc>
          <w:tcPr>
            <w:tcW w:type="dxa" w:w="2340"/>
            <w:shd w:fill="FFFFFF"/>
            <w:tcMar>
              <w:top w:w="100" w:type="dxa"/>
              <w:bottom w:w="100" w:type="dxa"/>
              <w:left w:w="80" w:type="dxa"/>
              <w:right w:type="dxa" w:w="80"/>
            </w:tcMar>
          </w:tcPr>
          <w:p>
            <w:r>
              <w:rPr>
                <w:sz w:val="18"/>
              </w:rPr>
              <w:t>Requires explicit binary flags: is_new_user (&lt; 24h signup) and is_rapid_spender (&gt; 95th %ile speed).</w:t>
            </w:r>
          </w:p>
        </w:tc>
        <w:tc>
          <w:tcPr>
            <w:tcW w:type="dxa" w:w="2340"/>
            <w:shd w:fill="FFFFFF"/>
            <w:tcMar>
              <w:top w:w="100" w:type="dxa"/>
              <w:bottom w:w="100" w:type="dxa"/>
              <w:left w:w="80" w:type="dxa"/>
              <w:right w:type="dxa" w:w="80"/>
            </w:tcMar>
          </w:tcPr>
          <w:p>
            <w:r>
              <w:rPr>
                <w:sz w:val="18"/>
              </w:rPr>
              <w:t>Calculates spending_speed and time_since_signup, but lacks is_new_user and is_rapid_spender flags.</w:t>
            </w:r>
          </w:p>
        </w:tc>
        <w:tc>
          <w:tcPr>
            <w:tcW w:type="dxa" w:w="2340"/>
            <w:shd w:fill="FFFFFF"/>
            <w:tcMar>
              <w:top w:w="100" w:type="dxa"/>
              <w:bottom w:w="100" w:type="dxa"/>
              <w:left w:w="80" w:type="dxa"/>
              <w:right w:type="dxa" w:w="80"/>
            </w:tcMar>
          </w:tcPr>
          <w:p>
            <w:r>
              <w:rPr>
                <w:b/>
                <w:color w:val="CC6600"/>
                <w:sz w:val="18"/>
              </w:rPr>
              <w:t>⚠️ PARTIAL</w:t>
              <w:br/>
              <w:t>(Missing Features)</w:t>
            </w:r>
          </w:p>
        </w:tc>
      </w:tr>
      <w:tr>
        <w:tc>
          <w:tcPr>
            <w:tcW w:type="dxa" w:w="2340"/>
            <w:shd w:fill="F9FAFB"/>
            <w:tcMar>
              <w:top w:w="100" w:type="dxa"/>
              <w:bottom w:w="100" w:type="dxa"/>
              <w:left w:w="80" w:type="dxa"/>
              <w:right w:type="dxa" w:w="80"/>
            </w:tcMar>
          </w:tcPr>
          <w:p>
            <w:r>
              <w:rPr>
                <w:sz w:val="18"/>
              </w:rPr>
              <w:t>Streamlit Dashboard Capabilities</w:t>
            </w:r>
          </w:p>
        </w:tc>
        <w:tc>
          <w:tcPr>
            <w:tcW w:type="dxa" w:w="2340"/>
            <w:shd w:fill="F9FAFB"/>
            <w:tcMar>
              <w:top w:w="100" w:type="dxa"/>
              <w:bottom w:w="100" w:type="dxa"/>
              <w:left w:w="80" w:type="dxa"/>
              <w:right w:type="dxa" w:w="80"/>
            </w:tcMar>
          </w:tcPr>
          <w:p>
            <w:r>
              <w:rPr>
                <w:sz w:val="18"/>
              </w:rPr>
              <w:t>Requires CSV upload for real-time predictions, SHAP transaction explanations, and interactive risk scoring.</w:t>
            </w:r>
          </w:p>
        </w:tc>
        <w:tc>
          <w:tcPr>
            <w:tcW w:type="dxa" w:w="2340"/>
            <w:shd w:fill="F9FAFB"/>
            <w:tcMar>
              <w:top w:w="100" w:type="dxa"/>
              <w:bottom w:w="100" w:type="dxa"/>
              <w:left w:w="80" w:type="dxa"/>
              <w:right w:type="dxa" w:w="80"/>
            </w:tcMar>
          </w:tcPr>
          <w:p>
            <w:r>
              <w:rPr>
                <w:sz w:val="18"/>
              </w:rPr>
              <w:t>app.py only displays static historical EDA charts from pre-processed CSVs; no file upload or prediction engine.</w:t>
            </w:r>
          </w:p>
        </w:tc>
        <w:tc>
          <w:tcPr>
            <w:tcW w:type="dxa" w:w="2340"/>
            <w:shd w:fill="F9FAFB"/>
            <w:tcMar>
              <w:top w:w="100" w:type="dxa"/>
              <w:bottom w:w="100" w:type="dxa"/>
              <w:left w:w="80" w:type="dxa"/>
              <w:right w:type="dxa" w:w="80"/>
            </w:tcMar>
          </w:tcPr>
          <w:p>
            <w:r>
              <w:rPr>
                <w:b/>
                <w:color w:val="CC6600"/>
                <w:sz w:val="18"/>
              </w:rPr>
              <w:t>⚠️ PARTIAL</w:t>
              <w:br/>
              <w:t>(Missing Interactive Inference)</w:t>
            </w:r>
          </w:p>
        </w:tc>
      </w:tr>
      <w:tr>
        <w:tc>
          <w:tcPr>
            <w:tcW w:type="dxa" w:w="2340"/>
            <w:shd w:fill="FFFFFF"/>
            <w:tcMar>
              <w:top w:w="100" w:type="dxa"/>
              <w:bottom w:w="100" w:type="dxa"/>
              <w:left w:w="80" w:type="dxa"/>
              <w:right w:type="dxa" w:w="80"/>
            </w:tcMar>
          </w:tcPr>
          <w:p>
            <w:r>
              <w:rPr>
                <w:sz w:val="18"/>
              </w:rPr>
              <w:t>Models &amp; Cross-Validation</w:t>
            </w:r>
          </w:p>
        </w:tc>
        <w:tc>
          <w:tcPr>
            <w:tcW w:type="dxa" w:w="2340"/>
            <w:shd w:fill="FFFFFF"/>
            <w:tcMar>
              <w:top w:w="100" w:type="dxa"/>
              <w:bottom w:w="100" w:type="dxa"/>
              <w:left w:w="80" w:type="dxa"/>
              <w:right w:type="dxa" w:w="80"/>
            </w:tcMar>
          </w:tcPr>
          <w:p>
            <w:r>
              <w:rPr>
                <w:sz w:val="18"/>
              </w:rPr>
              <w:t>Requires Logistic Regression vs LightGBM comparison with Stratified K-Fold CV &amp; ROC-AUC/AUC-PR export.</w:t>
            </w:r>
          </w:p>
        </w:tc>
        <w:tc>
          <w:tcPr>
            <w:tcW w:type="dxa" w:w="2340"/>
            <w:shd w:fill="FFFFFF"/>
            <w:tcMar>
              <w:top w:w="100" w:type="dxa"/>
              <w:bottom w:w="100" w:type="dxa"/>
              <w:left w:w="80" w:type="dxa"/>
              <w:right w:type="dxa" w:w="80"/>
            </w:tcMar>
          </w:tcPr>
          <w:p>
            <w:r>
              <w:rPr>
                <w:sz w:val="18"/>
              </w:rPr>
              <w:t>train_models.py trains simple LR &amp; LightGBM without CV, evaluation metrics json saving, or ROC curve plots.</w:t>
            </w:r>
          </w:p>
        </w:tc>
        <w:tc>
          <w:tcPr>
            <w:tcW w:type="dxa" w:w="2340"/>
            <w:shd w:fill="FFFFFF"/>
            <w:tcMar>
              <w:top w:w="100" w:type="dxa"/>
              <w:bottom w:w="100" w:type="dxa"/>
              <w:left w:w="80" w:type="dxa"/>
              <w:right w:type="dxa" w:w="80"/>
            </w:tcMar>
          </w:tcPr>
          <w:p>
            <w:r>
              <w:rPr>
                <w:b/>
                <w:color w:val="CC6600"/>
                <w:sz w:val="18"/>
              </w:rPr>
              <w:t>⚠️ PARTIAL</w:t>
              <w:br/>
              <w:t>(Basic Script)</w:t>
            </w:r>
          </w:p>
        </w:tc>
      </w:tr>
      <w:tr>
        <w:tc>
          <w:tcPr>
            <w:tcW w:type="dxa" w:w="2340"/>
            <w:shd w:fill="F9FAFB"/>
            <w:tcMar>
              <w:top w:w="100" w:type="dxa"/>
              <w:bottom w:w="100" w:type="dxa"/>
              <w:left w:w="80" w:type="dxa"/>
              <w:right w:type="dxa" w:w="80"/>
            </w:tcMar>
          </w:tcPr>
          <w:p>
            <w:r>
              <w:rPr>
                <w:sz w:val="18"/>
              </w:rPr>
              <w:t>Repository Architecture &amp; Modular Pipeline</w:t>
            </w:r>
          </w:p>
        </w:tc>
        <w:tc>
          <w:tcPr>
            <w:tcW w:type="dxa" w:w="2340"/>
            <w:shd w:fill="F9FAFB"/>
            <w:tcMar>
              <w:top w:w="100" w:type="dxa"/>
              <w:bottom w:w="100" w:type="dxa"/>
              <w:left w:w="80" w:type="dxa"/>
              <w:right w:type="dxa" w:w="80"/>
            </w:tcMar>
          </w:tcPr>
          <w:p>
            <w:r>
              <w:rPr>
                <w:sz w:val="18"/>
              </w:rPr>
              <w:t>Requires modular code, automated CLI pipeline execution, and robust unit test coverage.</w:t>
            </w:r>
          </w:p>
        </w:tc>
        <w:tc>
          <w:tcPr>
            <w:tcW w:type="dxa" w:w="2340"/>
            <w:shd w:fill="F9FAFB"/>
            <w:tcMar>
              <w:top w:w="100" w:type="dxa"/>
              <w:bottom w:w="100" w:type="dxa"/>
              <w:left w:w="80" w:type="dxa"/>
              <w:right w:type="dxa" w:w="80"/>
            </w:tcMar>
          </w:tcPr>
          <w:p>
            <w:r>
              <w:rPr>
                <w:sz w:val="18"/>
              </w:rPr>
              <w:t>Contains empty scripts (train_model.py, run_pipeline.py), duplicate refatored_* files, and failing pytest suite.</w:t>
            </w:r>
          </w:p>
        </w:tc>
        <w:tc>
          <w:tcPr>
            <w:tcW w:type="dxa" w:w="2340"/>
            <w:shd w:fill="F9FAFB"/>
            <w:tcMar>
              <w:top w:w="100" w:type="dxa"/>
              <w:bottom w:w="100" w:type="dxa"/>
              <w:left w:w="80" w:type="dxa"/>
              <w:right w:type="dxa" w:w="80"/>
            </w:tcMar>
          </w:tcPr>
          <w:p>
            <w:r>
              <w:rPr>
                <w:b/>
                <w:color w:val="990000"/>
                <w:sz w:val="18"/>
              </w:rPr>
              <w:t>❌ NON-COMPLIANT</w:t>
              <w:br/>
              <w:t>(Broken Architecture)</w:t>
            </w:r>
          </w:p>
        </w:tc>
      </w:tr>
      <w:tr>
        <w:tc>
          <w:tcPr>
            <w:tcW w:type="dxa" w:w="2340"/>
            <w:shd w:fill="FFFFFF"/>
            <w:tcMar>
              <w:top w:w="100" w:type="dxa"/>
              <w:bottom w:w="100" w:type="dxa"/>
              <w:left w:w="80" w:type="dxa"/>
              <w:right w:type="dxa" w:w="80"/>
            </w:tcMar>
          </w:tcPr>
          <w:p>
            <w:r>
              <w:rPr>
                <w:sz w:val="18"/>
              </w:rPr>
              <w:t>MLOps &amp; Real-Time API</w:t>
            </w:r>
          </w:p>
        </w:tc>
        <w:tc>
          <w:tcPr>
            <w:tcW w:type="dxa" w:w="2340"/>
            <w:shd w:fill="FFFFFF"/>
            <w:tcMar>
              <w:top w:w="100" w:type="dxa"/>
              <w:bottom w:w="100" w:type="dxa"/>
              <w:left w:w="80" w:type="dxa"/>
              <w:right w:type="dxa" w:w="80"/>
            </w:tcMar>
          </w:tcPr>
          <w:p>
            <w:r>
              <w:rPr>
                <w:sz w:val="18"/>
              </w:rPr>
              <w:t>Integrate with payment gateways / real-time monitoring infrastructure.</w:t>
            </w:r>
          </w:p>
        </w:tc>
        <w:tc>
          <w:tcPr>
            <w:tcW w:type="dxa" w:w="2340"/>
            <w:shd w:fill="FFFFFF"/>
            <w:tcMar>
              <w:top w:w="100" w:type="dxa"/>
              <w:bottom w:w="100" w:type="dxa"/>
              <w:left w:w="80" w:type="dxa"/>
              <w:right w:type="dxa" w:w="80"/>
            </w:tcMar>
          </w:tcPr>
          <w:p>
            <w:r>
              <w:rPr>
                <w:sz w:val="18"/>
              </w:rPr>
              <w:t>No REST API (FastAPI / Flask) created; unpinned requirements.txt dependencies.</w:t>
            </w:r>
          </w:p>
        </w:tc>
        <w:tc>
          <w:tcPr>
            <w:tcW w:type="dxa" w:w="2340"/>
            <w:shd w:fill="FFFFFF"/>
            <w:tcMar>
              <w:top w:w="100" w:type="dxa"/>
              <w:bottom w:w="100" w:type="dxa"/>
              <w:left w:w="80" w:type="dxa"/>
              <w:right w:type="dxa" w:w="80"/>
            </w:tcMar>
          </w:tcPr>
          <w:p>
            <w:r>
              <w:rPr>
                <w:b/>
                <w:color w:val="990000"/>
                <w:sz w:val="18"/>
              </w:rPr>
              <w:t>❌ MISSING</w:t>
              <w:br/>
              <w:t>(Production Serving)</w:t>
            </w:r>
          </w:p>
        </w:tc>
      </w:tr>
    </w:tbl>
    <w:p>
      <w:pPr>
        <w:spacing w:after="200"/>
      </w:pPr>
    </w:p>
    <w:p>
      <w:pPr>
        <w:pStyle w:val="Heading1"/>
        <w:keepNext/>
        <w:spacing w:before="280" w:after="120"/>
      </w:pPr>
      <w:r>
        <w:rPr>
          <w:b/>
          <w:color w:val="1B365D"/>
          <w:sz w:val="36"/>
        </w:rPr>
        <w:t>3. Deep-Dive Audit of Identified Deficiencies</w:t>
      </w:r>
    </w:p>
    <w:p>
      <w:pPr>
        <w:pStyle w:val="Heading2"/>
        <w:keepNext/>
        <w:spacing w:before="280" w:after="120"/>
      </w:pPr>
      <w:r>
        <w:rPr>
          <w:b/>
          <w:color w:val="006699"/>
          <w:sz w:val="28"/>
        </w:rPr>
        <w:t>3.1 Data Leakage in Preprocessing Pipeline (SMOTE Paradox)</w:t>
      </w:r>
    </w:p>
    <w:tbl>
      <w:tblPr>
        <w:tblW w:type="auto" w:w="0"/>
        <w:jc w:val="center"/>
        <w:tblLook w:firstColumn="1" w:firstRow="1" w:lastColumn="0" w:lastRow="0" w:noHBand="0" w:noVBand="1" w:val="04A0"/>
      </w:tblPr>
      <w:tblGrid>
        <w:gridCol w:w="9360"/>
      </w:tblGrid>
      <w:tr>
        <w:tc>
          <w:tcPr>
            <w:tcW w:type="dxa" w:w="9360"/>
            <w:shd w:fill="FFF5F5"/>
            <w:tcMar>
              <w:top w:w="140" w:type="dxa"/>
              <w:bottom w:w="140" w:type="dxa"/>
              <w:left w:w="200" w:type="dxa"/>
              <w:right w:type="dxa" w:w="200"/>
            </w:tcMar>
            <w:tcBorders>
              <w:left w:val="single" w:sz="24" w:space="0" w:color="E53E3E"/>
              <w:top w:val="none"/>
              <w:right w:val="none"/>
              <w:bottom w:val="none"/>
            </w:tcBorders>
          </w:tcPr>
          <w:p>
            <w:pPr>
              <w:spacing w:before="40" w:after="40"/>
            </w:pPr>
            <w:r>
              <w:rPr>
                <w:b/>
                <w:color w:val="1B365D"/>
                <w:sz w:val="22"/>
              </w:rPr>
              <w:t>📌 Critical Flaw: Global Oversampling in preprocessor.py</w:t>
              <w:br/>
            </w:r>
            <w:r>
              <w:rPr>
                <w:color w:val="222222"/>
                <w:sz w:val="21"/>
              </w:rPr>
              <w:t>The project specification explicitly states: 'We used SMOTE on training data only to prevent data leakage.'</w:t>
              <w:br/>
              <w:t>However, inspect lines 119-129 of src/utils/preprocessor.py:</w:t>
              <w:br/>
              <w:t xml:space="preserve">  def balance_classes(self, target_col='class', method='smote'):</w:t>
              <w:br/>
              <w:t xml:space="preserve">      X = df.drop(columns=[target_col])</w:t>
              <w:br/>
              <w:t xml:space="preserve">      X_res, y_res = SMOTE().fit_resample(X, y)</w:t>
              <w:br/>
              <w:t xml:space="preserve">      self.df_fraud = pd.concat([X_res, y_res], axis=1)</w:t>
              <w:br/>
              <w:br/>
              <w:t>Because this runs before train_test_split(), synthetic samples derived from test data leak into the training set. This artificially inflates evaluation metrics and violates the project's own methodological guidelines.</w:t>
            </w:r>
          </w:p>
        </w:tc>
      </w:tr>
    </w:tbl>
    <w:p>
      <w:pPr>
        <w:spacing w:after="120"/>
      </w:pPr>
    </w:p>
    <w:p>
      <w:pPr>
        <w:pStyle w:val="Heading2"/>
        <w:keepNext/>
        <w:spacing w:before="280" w:after="120"/>
      </w:pPr>
      <w:r>
        <w:rPr>
          <w:b/>
          <w:color w:val="006699"/>
          <w:sz w:val="28"/>
        </w:rPr>
        <w:t>3.2 Missing High-Impact Domain Features</w:t>
      </w:r>
    </w:p>
    <w:p>
      <w:pPr>
        <w:spacing w:line="276" w:lineRule="auto"/>
      </w:pPr>
      <w:r>
        <w:t>The specification document identifies two critical binary indicators that provide immediate signal for automated fraud:</w:t>
        <w:br/>
        <w:t>1. is_new_user: Flags transactions occurring within 24 hours of account registration (time_since_signup &lt;= 24).</w:t>
        <w:br/>
        <w:t>2. is_rapid_spender: Flags transactions where spending_speed exceeds the 95th percentile threshold.</w:t>
        <w:br/>
        <w:t>3. is_high_value: Flags transactions exceeding $100 or high-value anomaly limits.</w:t>
        <w:br/>
        <w:br/>
        <w:t>Neither feature is currently implemented in src/utils/feature_engineering.py or src/utils/preprocessor.py.</w:t>
      </w:r>
    </w:p>
    <w:p>
      <w:pPr>
        <w:pStyle w:val="Heading2"/>
        <w:keepNext/>
        <w:spacing w:before="280" w:after="120"/>
      </w:pPr>
      <w:r>
        <w:rPr>
          <w:b/>
          <w:color w:val="006699"/>
          <w:sz w:val="28"/>
        </w:rPr>
        <w:t>3.3 Dashboard Gaps: Missing Real-Time CSV Upload &amp; SHAP Inference</w:t>
      </w:r>
    </w:p>
    <w:p>
      <w:pPr>
        <w:spacing w:line="276" w:lineRule="auto"/>
      </w:pPr>
      <w:r>
        <w:t>The aim document mandates an interactive Streamlit dashboard capable of uploading new transaction data for immediate fraud predictions, displaying risk probability scores, and rendering SHAP explanation force plots for individual transactions. Currently, dashboard/app.py is strictly an offline EDA viewer that reads pre-processed CSVs and lacks interactive model scoring.</w:t>
      </w:r>
    </w:p>
    <w:p>
      <w:pPr>
        <w:pStyle w:val="Heading2"/>
        <w:keepNext/>
        <w:spacing w:before="280" w:after="120"/>
      </w:pPr>
      <w:r>
        <w:rPr>
          <w:b/>
          <w:color w:val="006699"/>
          <w:sz w:val="28"/>
        </w:rPr>
        <w:t>3.4 Architecture &amp; Test Infrastructure Deficiencies</w:t>
      </w:r>
    </w:p>
    <w:p>
      <w:pPr>
        <w:spacing w:line="276" w:lineRule="auto"/>
      </w:pPr>
      <w:r>
        <w:t>• Broken Test Suite: tests/test_preprocessor.py fails immediately on pytest execution due to invalid module import paths.</w:t>
        <w:br/>
        <w:t>• Empty Modules: Key files (src/config.py, scripts/train_model.py, scripts/run_pipeline.py, src/utils/explainability.py) contain zero code.</w:t>
        <w:br/>
        <w:t>• Duplicated Files: Parallel files like refatored_feature_engineering.py (with spelling error) clutter the codebase.</w:t>
      </w:r>
    </w:p>
    <w:p>
      <w:pPr>
        <w:pStyle w:val="Heading1"/>
        <w:keepNext/>
        <w:spacing w:before="280" w:after="120"/>
      </w:pPr>
      <w:r>
        <w:rPr>
          <w:b/>
          <w:color w:val="1B365D"/>
          <w:sz w:val="36"/>
        </w:rPr>
        <w:t>4. Comprehensive 4-Phase Remediation Roadmap</w:t>
      </w:r>
    </w:p>
    <w:p>
      <w:r>
        <w:t>To bring the codebase into 100% alignment with the business vision and technical standards outlined in the aim document, we recommend executing the following 4-phase plan:</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06699"/>
            <w:tcMar>
              <w:top w:w="120" w:type="dxa"/>
              <w:bottom w:w="120" w:type="dxa"/>
              <w:left w:w="100" w:type="dxa"/>
              <w:right w:type="dxa" w:w="100"/>
            </w:tcMar>
          </w:tcPr>
          <w:p>
            <w:pPr>
              <w:jc w:val="left"/>
            </w:pPr>
            <w:r>
              <w:rPr>
                <w:b/>
                <w:color w:val="FFFFFF"/>
                <w:sz w:val="20"/>
              </w:rPr>
              <w:t>Phase</w:t>
            </w:r>
          </w:p>
        </w:tc>
        <w:tc>
          <w:tcPr>
            <w:tcW w:type="dxa" w:w="3120"/>
            <w:shd w:fill="006699"/>
            <w:tcMar>
              <w:top w:w="120" w:type="dxa"/>
              <w:bottom w:w="120" w:type="dxa"/>
              <w:left w:w="100" w:type="dxa"/>
              <w:right w:type="dxa" w:w="100"/>
            </w:tcMar>
          </w:tcPr>
          <w:p>
            <w:pPr>
              <w:jc w:val="left"/>
            </w:pPr>
            <w:r>
              <w:rPr>
                <w:b/>
                <w:color w:val="FFFFFF"/>
                <w:sz w:val="20"/>
              </w:rPr>
              <w:t>Technical Deliverables</w:t>
            </w:r>
          </w:p>
        </w:tc>
        <w:tc>
          <w:tcPr>
            <w:tcW w:type="dxa" w:w="3120"/>
            <w:shd w:fill="006699"/>
            <w:tcMar>
              <w:top w:w="120" w:type="dxa"/>
              <w:bottom w:w="120" w:type="dxa"/>
              <w:left w:w="100" w:type="dxa"/>
              <w:right w:type="dxa" w:w="100"/>
            </w:tcMar>
          </w:tcPr>
          <w:p>
            <w:pPr>
              <w:jc w:val="left"/>
            </w:pPr>
            <w:r>
              <w:rPr>
                <w:b/>
                <w:color w:val="FFFFFF"/>
                <w:sz w:val="20"/>
              </w:rPr>
              <w:t>Target Outcome &amp; Alignment</w:t>
            </w:r>
          </w:p>
        </w:tc>
      </w:tr>
      <w:tr>
        <w:tc>
          <w:tcPr>
            <w:tcW w:type="dxa" w:w="3120"/>
            <w:shd w:fill="F9FAFB"/>
            <w:tcMar>
              <w:top w:w="100" w:type="dxa"/>
              <w:bottom w:w="100" w:type="dxa"/>
              <w:left w:w="100" w:type="dxa"/>
              <w:right w:type="dxa" w:w="100"/>
            </w:tcMar>
          </w:tcPr>
          <w:p>
            <w:r>
              <w:rPr>
                <w:color w:val="333333"/>
                <w:sz w:val="19"/>
              </w:rPr>
              <w:t>Phase 1: ML Pipeline Integrity &amp; Feature Completion</w:t>
            </w:r>
          </w:p>
        </w:tc>
        <w:tc>
          <w:tcPr>
            <w:tcW w:type="dxa" w:w="3120"/>
            <w:shd w:fill="F9FAFB"/>
            <w:tcMar>
              <w:top w:w="100" w:type="dxa"/>
              <w:bottom w:w="100" w:type="dxa"/>
              <w:left w:w="100" w:type="dxa"/>
              <w:right w:type="dxa" w:w="100"/>
            </w:tcMar>
          </w:tcPr>
          <w:p>
            <w:r>
              <w:rPr>
                <w:color w:val="333333"/>
                <w:sz w:val="19"/>
              </w:rPr>
              <w:t>1. Remove balance_classes() from preprocessor.py and move SMOTE strictly into train_models.py on X_train.</w:t>
              <w:br/>
              <w:t>2. Implement is_new_user, is_rapid_spender, and is_high_value in feature_engineering.py.</w:t>
              <w:br/>
              <w:t>3. Fix tests/test_preprocessor.py imports and pass test suite.</w:t>
            </w:r>
          </w:p>
        </w:tc>
        <w:tc>
          <w:tcPr>
            <w:tcW w:type="dxa" w:w="3120"/>
            <w:shd w:fill="F9FAFB"/>
            <w:tcMar>
              <w:top w:w="100" w:type="dxa"/>
              <w:bottom w:w="100" w:type="dxa"/>
              <w:left w:w="100" w:type="dxa"/>
              <w:right w:type="dxa" w:w="100"/>
            </w:tcMar>
          </w:tcPr>
          <w:p>
            <w:r>
              <w:rPr>
                <w:color w:val="333333"/>
                <w:sz w:val="19"/>
              </w:rPr>
              <w:t>Eliminates data leakage, fulfills feature engineering requirements, and establishes valid CI test baseline.</w:t>
            </w:r>
          </w:p>
        </w:tc>
      </w:tr>
      <w:tr>
        <w:tc>
          <w:tcPr>
            <w:tcW w:type="dxa" w:w="3120"/>
            <w:shd w:fill="FFFFFF"/>
            <w:tcMar>
              <w:top w:w="100" w:type="dxa"/>
              <w:bottom w:w="100" w:type="dxa"/>
              <w:left w:w="100" w:type="dxa"/>
              <w:right w:type="dxa" w:w="100"/>
            </w:tcMar>
          </w:tcPr>
          <w:p>
            <w:r>
              <w:rPr>
                <w:color w:val="333333"/>
                <w:sz w:val="19"/>
              </w:rPr>
              <w:t>Phase 2: Codebase Consolidation &amp; Orchestration</w:t>
            </w:r>
          </w:p>
        </w:tc>
        <w:tc>
          <w:tcPr>
            <w:tcW w:type="dxa" w:w="3120"/>
            <w:shd w:fill="FFFFFF"/>
            <w:tcMar>
              <w:top w:w="100" w:type="dxa"/>
              <w:bottom w:w="100" w:type="dxa"/>
              <w:left w:w="100" w:type="dxa"/>
              <w:right w:type="dxa" w:w="100"/>
            </w:tcMar>
          </w:tcPr>
          <w:p>
            <w:r>
              <w:rPr>
                <w:color w:val="333333"/>
                <w:sz w:val="19"/>
              </w:rPr>
              <w:t>1. Clean up duplicate refatored_* files.</w:t>
              <w:br/>
              <w:t>2. Populate src/config.py with paths, feature lists, thresholds, and random seed (42).</w:t>
              <w:br/>
              <w:t>3. Populate scripts/run_pipeline.py to orchestrate preprocessing -&gt; feature engineering -&gt; training -&gt; evaluation -&gt; model artifact save.</w:t>
            </w:r>
          </w:p>
        </w:tc>
        <w:tc>
          <w:tcPr>
            <w:tcW w:type="dxa" w:w="3120"/>
            <w:shd w:fill="FFFFFF"/>
            <w:tcMar>
              <w:top w:w="100" w:type="dxa"/>
              <w:bottom w:w="100" w:type="dxa"/>
              <w:left w:w="100" w:type="dxa"/>
              <w:right w:type="dxa" w:w="100"/>
            </w:tcMar>
          </w:tcPr>
          <w:p>
            <w:r>
              <w:rPr>
                <w:color w:val="333333"/>
                <w:sz w:val="19"/>
              </w:rPr>
              <w:t>Clean, modular codebase with 1-click CLI execution and full reproducibility.</w:t>
            </w:r>
          </w:p>
        </w:tc>
      </w:tr>
      <w:tr>
        <w:tc>
          <w:tcPr>
            <w:tcW w:type="dxa" w:w="3120"/>
            <w:shd w:fill="F9FAFB"/>
            <w:tcMar>
              <w:top w:w="100" w:type="dxa"/>
              <w:bottom w:w="100" w:type="dxa"/>
              <w:left w:w="100" w:type="dxa"/>
              <w:right w:type="dxa" w:w="100"/>
            </w:tcMar>
          </w:tcPr>
          <w:p>
            <w:r>
              <w:rPr>
                <w:color w:val="333333"/>
                <w:sz w:val="19"/>
              </w:rPr>
              <w:t>Phase 3: Interactive Dashboard Upgrade</w:t>
            </w:r>
          </w:p>
        </w:tc>
        <w:tc>
          <w:tcPr>
            <w:tcW w:type="dxa" w:w="3120"/>
            <w:shd w:fill="F9FAFB"/>
            <w:tcMar>
              <w:top w:w="100" w:type="dxa"/>
              <w:bottom w:w="100" w:type="dxa"/>
              <w:left w:w="100" w:type="dxa"/>
              <w:right w:type="dxa" w:w="100"/>
            </w:tcMar>
          </w:tcPr>
          <w:p>
            <w:r>
              <w:rPr>
                <w:color w:val="333333"/>
                <w:sz w:val="19"/>
              </w:rPr>
              <w:t>1. Add st.file_uploader to dashboard/app.py allowing CSV uploads.</w:t>
              <w:br/>
              <w:t>2. Integrate LightGBM model scoring to generate instant fraud risk probabilities.</w:t>
              <w:br/>
              <w:t>3. Add SHAP Force Plots and Waterfall plots for individual transaction explanations.</w:t>
              <w:br/>
              <w:t>4. Add @st.cache_data for dataset loading.</w:t>
            </w:r>
          </w:p>
        </w:tc>
        <w:tc>
          <w:tcPr>
            <w:tcW w:type="dxa" w:w="3120"/>
            <w:shd w:fill="F9FAFB"/>
            <w:tcMar>
              <w:top w:w="100" w:type="dxa"/>
              <w:bottom w:w="100" w:type="dxa"/>
              <w:left w:w="100" w:type="dxa"/>
              <w:right w:type="dxa" w:w="100"/>
            </w:tcMar>
          </w:tcPr>
          <w:p>
            <w:r>
              <w:rPr>
                <w:color w:val="333333"/>
                <w:sz w:val="19"/>
              </w:rPr>
              <w:t>Delivers the exact real-time monitoring and transparent explainability tool specified in the target aim document.</w:t>
            </w:r>
          </w:p>
        </w:tc>
      </w:tr>
      <w:tr>
        <w:tc>
          <w:tcPr>
            <w:tcW w:type="dxa" w:w="3120"/>
            <w:shd w:fill="FFFFFF"/>
            <w:tcMar>
              <w:top w:w="100" w:type="dxa"/>
              <w:bottom w:w="100" w:type="dxa"/>
              <w:left w:w="100" w:type="dxa"/>
              <w:right w:type="dxa" w:w="100"/>
            </w:tcMar>
          </w:tcPr>
          <w:p>
            <w:r>
              <w:rPr>
                <w:color w:val="333333"/>
                <w:sz w:val="19"/>
              </w:rPr>
              <w:t>Phase 4: MLOps, Performance &amp; API Serving</w:t>
            </w:r>
          </w:p>
        </w:tc>
        <w:tc>
          <w:tcPr>
            <w:tcW w:type="dxa" w:w="3120"/>
            <w:shd w:fill="FFFFFF"/>
            <w:tcMar>
              <w:top w:w="100" w:type="dxa"/>
              <w:bottom w:w="100" w:type="dxa"/>
              <w:left w:w="100" w:type="dxa"/>
              <w:right w:type="dxa" w:w="100"/>
            </w:tcMar>
          </w:tcPr>
          <w:p>
            <w:r>
              <w:rPr>
                <w:color w:val="333333"/>
                <w:sz w:val="19"/>
              </w:rPr>
              <w:t>1. Build FastAPI endpoint (api/main.py) with POST /predict.</w:t>
              <w:br/>
              <w:t>2. Vectorize IP lookup via pandas.merge_asof.</w:t>
              <w:br/>
              <w:t>3. Pin dependencies in requirements.txt and set up GitHub Actions CI workflow.</w:t>
            </w:r>
          </w:p>
        </w:tc>
        <w:tc>
          <w:tcPr>
            <w:tcW w:type="dxa" w:w="3120"/>
            <w:shd w:fill="FFFFFF"/>
            <w:tcMar>
              <w:top w:w="100" w:type="dxa"/>
              <w:bottom w:w="100" w:type="dxa"/>
              <w:left w:w="100" w:type="dxa"/>
              <w:right w:type="dxa" w:w="100"/>
            </w:tcMar>
          </w:tcPr>
          <w:p>
            <w:r>
              <w:rPr>
                <w:color w:val="333333"/>
                <w:sz w:val="19"/>
              </w:rPr>
              <w:t>Production-grade microservice, low-latency scoring, and automated CI/CD pipeline.</w:t>
            </w:r>
          </w:p>
        </w:tc>
      </w:tr>
    </w:tbl>
    <w:p>
      <w:pPr>
        <w:spacing w:after="280"/>
      </w:pPr>
    </w:p>
    <w:p>
      <w:pPr>
        <w:jc w:val="center"/>
      </w:pPr>
      <w:r>
        <w:rPr>
          <w:i/>
          <w:color w:val="888888"/>
          <w:sz w:val="20"/>
        </w:rPr>
        <w:t>--- End of Alignment Audit Report | Adey Innovations Inc.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