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/>
          <w:color w:val="1B365D"/>
          <w:sz w:val="44"/>
        </w:rPr>
        <w:t>Enterprise Fraud Detection System:</w:t>
        <w:br/>
        <w:t>Dual Execution Workflows &amp; Capabilities</w:t>
      </w:r>
    </w:p>
    <w:p>
      <w:pPr>
        <w:spacing w:after="480"/>
        <w:jc w:val="center"/>
      </w:pPr>
      <w:r>
        <w:rPr>
          <w:rFonts w:ascii="Arial" w:hAnsi="Arial"/>
          <w:i/>
          <w:color w:val="666666"/>
          <w:sz w:val="24"/>
        </w:rPr>
        <w:t>Adey Innovations Inc. | Dual-Workflow Technical Specification</w:t>
      </w:r>
    </w:p>
    <w:p>
      <w:pPr>
        <w:pStyle w:val="Heading1"/>
        <w:keepNext/>
        <w:spacing w:before="280" w:after="120"/>
      </w:pPr>
      <w:r>
        <w:rPr>
          <w:b/>
          <w:color w:val="1B365D"/>
          <w:sz w:val="36"/>
        </w:rPr>
        <w:t>1. Executive Summary &amp; Dual-Workflow Concept</w:t>
      </w:r>
    </w:p>
    <w:p>
      <w:pPr>
        <w:spacing w:after="200" w:line="276" w:lineRule="auto"/>
      </w:pPr>
      <w:r>
        <w:t>This document details the system capabilities and dual execution workflows for the Adey Innovations Inc. Fraud Detection System. The architecture is structured into two completely independent, user-selectable execution modes: Option 1 (Standard Local ML Pipeline) for fast offline training and validation, and Option 2 (Enterprise Production Stack) for containerized microservices, API security, data drift monitoring, online feature store, and analyst feedback loops.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4F8"/>
            <w:tcMar>
              <w:top w:w="140" w:type="dxa"/>
              <w:bottom w:w="140" w:type="dxa"/>
              <w:left w:w="200" w:type="dxa"/>
              <w:right w:type="dxa" w:w="200"/>
            </w:tcMar>
            <w:tcBorders>
              <w:left w:val="single" w:sz="24" w:space="0" w:color="1B365D"/>
              <w:top w:val="none"/>
              <w:right w:val="none"/>
              <w:bottom w:val="none"/>
            </w:tcBorders>
          </w:tcPr>
          <w:p>
            <w:pPr>
              <w:spacing w:before="40" w:after="40"/>
            </w:pPr>
            <w:r>
              <w:rPr>
                <w:b/>
                <w:color w:val="1B365D"/>
                <w:sz w:val="22"/>
              </w:rPr>
              <w:t>📌 Two Independent User-Selectable Workflows</w:t>
              <w:br/>
            </w:r>
            <w:r>
              <w:rPr>
                <w:color w:val="222222"/>
                <w:sz w:val="21"/>
              </w:rPr>
              <w:t>• OPTION 1: Standard ML Pipeline (Fast Local Execution)</w:t>
              <w:br/>
              <w:t xml:space="preserve">  Designed for rapid local development, feature engineering, standard leakage-proof training, pytest execution, and lightweight Streamlit exploration without requiring Docker or security setup.</w:t>
              <w:br/>
              <w:br/>
              <w:t>• OPTION 2: Enterprise Production Stack (Docker + API Auth + Drift + Redis)</w:t>
              <w:br/>
              <w:t xml:space="preserve">  Designed for full enterprise production deployment featuring multi-container Docker Compose orchestration, FastAPI API Key security (X-API-Key), SHA-256 PII hashing, Population Stability Index (PSI) data drift monitoring, Feast/Redis feature store client, and active learning analyst feedback loops.</w:t>
            </w:r>
          </w:p>
        </w:tc>
      </w:tr>
    </w:tbl>
    <w:p>
      <w:pPr>
        <w:spacing w:after="120"/>
      </w:pPr>
    </w:p>
    <w:p>
      <w:pPr>
        <w:pStyle w:val="Heading1"/>
        <w:keepNext/>
        <w:spacing w:before="280" w:after="120"/>
      </w:pPr>
      <w:r>
        <w:rPr>
          <w:b/>
          <w:color w:val="1B365D"/>
          <w:sz w:val="36"/>
        </w:rPr>
        <w:t>2. Workflow Comparison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B365D"/>
            <w:tcMar>
              <w:top w:w="120" w:type="dxa"/>
              <w:bottom w:w="120" w:type="dxa"/>
              <w:left w:w="100" w:type="dxa"/>
              <w:right w:type="dxa" w:w="100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System Component</w:t>
            </w:r>
          </w:p>
        </w:tc>
        <w:tc>
          <w:tcPr>
            <w:tcW w:type="dxa" w:w="3120"/>
            <w:shd w:fill="1B365D"/>
            <w:tcMar>
              <w:top w:w="120" w:type="dxa"/>
              <w:bottom w:w="120" w:type="dxa"/>
              <w:left w:w="100" w:type="dxa"/>
              <w:right w:type="dxa" w:w="100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Option 1: Standard ML Pipeline</w:t>
            </w:r>
          </w:p>
        </w:tc>
        <w:tc>
          <w:tcPr>
            <w:tcW w:type="dxa" w:w="3120"/>
            <w:shd w:fill="1B365D"/>
            <w:tcMar>
              <w:top w:w="120" w:type="dxa"/>
              <w:bottom w:w="120" w:type="dxa"/>
              <w:left w:w="100" w:type="dxa"/>
              <w:right w:type="dxa" w:w="100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Option 2: Enterprise Production Stack</w:t>
            </w:r>
          </w:p>
        </w:tc>
      </w:tr>
      <w:tr>
        <w:tc>
          <w:tcPr>
            <w:tcW w:type="dxa" w:w="3120"/>
            <w:shd w:fill="F9FAFB"/>
            <w:tcMar>
              <w:top w:w="100" w:type="dxa"/>
              <w:bottom w:w="100" w:type="dxa"/>
              <w:left w:w="100" w:type="dxa"/>
              <w:right w:type="dxa" w:w="100"/>
            </w:tcMar>
          </w:tcPr>
          <w:p>
            <w:r>
              <w:rPr>
                <w:color w:val="333333"/>
                <w:sz w:val="18"/>
              </w:rPr>
              <w:t>Execution Command</w:t>
            </w:r>
          </w:p>
        </w:tc>
        <w:tc>
          <w:tcPr>
            <w:tcW w:type="dxa" w:w="3120"/>
            <w:shd w:fill="F9FAFB"/>
            <w:tcMar>
              <w:top w:w="100" w:type="dxa"/>
              <w:bottom w:w="100" w:type="dxa"/>
              <w:left w:w="100" w:type="dxa"/>
              <w:right w:type="dxa" w:w="100"/>
            </w:tcMar>
          </w:tcPr>
          <w:p>
            <w:r>
              <w:rPr>
                <w:color w:val="333333"/>
                <w:sz w:val="18"/>
              </w:rPr>
              <w:t>python scripts/run_pipeline.py --mode standard</w:t>
            </w:r>
          </w:p>
        </w:tc>
        <w:tc>
          <w:tcPr>
            <w:tcW w:type="dxa" w:w="3120"/>
            <w:shd w:fill="F9FAFB"/>
            <w:tcMar>
              <w:top w:w="100" w:type="dxa"/>
              <w:bottom w:w="100" w:type="dxa"/>
              <w:left w:w="100" w:type="dxa"/>
              <w:right w:type="dxa" w:w="100"/>
            </w:tcMar>
          </w:tcPr>
          <w:p>
            <w:r>
              <w:rPr>
                <w:color w:val="333333"/>
                <w:sz w:val="18"/>
              </w:rPr>
              <w:t>python scripts/run_pipeline.py --mode production</w:t>
              <w:br/>
              <w:t>docker-compose up --build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00" w:type="dxa"/>
              <w:right w:type="dxa" w:w="100"/>
            </w:tcMar>
          </w:tcPr>
          <w:p>
            <w:r>
              <w:rPr>
                <w:color w:val="333333"/>
                <w:sz w:val="18"/>
              </w:rPr>
              <w:t>API Security &amp; Auth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00" w:type="dxa"/>
              <w:right w:type="dxa" w:w="100"/>
            </w:tcMar>
          </w:tcPr>
          <w:p>
            <w:r>
              <w:rPr>
                <w:color w:val="333333"/>
                <w:sz w:val="18"/>
              </w:rPr>
              <w:t>Disabled (Open REST endpoints)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00" w:type="dxa"/>
              <w:right w:type="dxa" w:w="100"/>
            </w:tcMar>
          </w:tcPr>
          <w:p>
            <w:r>
              <w:rPr>
                <w:color w:val="333333"/>
                <w:sz w:val="18"/>
              </w:rPr>
              <w:t>Enabled (Strict X-API-Key validation &amp; SHA-256 PII hashing)</w:t>
            </w:r>
          </w:p>
        </w:tc>
      </w:tr>
      <w:tr>
        <w:tc>
          <w:tcPr>
            <w:tcW w:type="dxa" w:w="3120"/>
            <w:shd w:fill="F9FAFB"/>
            <w:tcMar>
              <w:top w:w="100" w:type="dxa"/>
              <w:bottom w:w="100" w:type="dxa"/>
              <w:left w:w="100" w:type="dxa"/>
              <w:right w:type="dxa" w:w="100"/>
            </w:tcMar>
          </w:tcPr>
          <w:p>
            <w:r>
              <w:rPr>
                <w:color w:val="333333"/>
                <w:sz w:val="18"/>
              </w:rPr>
              <w:t>Container Infrastructure</w:t>
            </w:r>
          </w:p>
        </w:tc>
        <w:tc>
          <w:tcPr>
            <w:tcW w:type="dxa" w:w="3120"/>
            <w:shd w:fill="F9FAFB"/>
            <w:tcMar>
              <w:top w:w="100" w:type="dxa"/>
              <w:bottom w:w="100" w:type="dxa"/>
              <w:left w:w="100" w:type="dxa"/>
              <w:right w:type="dxa" w:w="100"/>
            </w:tcMar>
          </w:tcPr>
          <w:p>
            <w:r>
              <w:rPr>
                <w:color w:val="333333"/>
                <w:sz w:val="18"/>
              </w:rPr>
              <w:t>Native Python environment</w:t>
            </w:r>
          </w:p>
        </w:tc>
        <w:tc>
          <w:tcPr>
            <w:tcW w:type="dxa" w:w="3120"/>
            <w:shd w:fill="F9FAFB"/>
            <w:tcMar>
              <w:top w:w="100" w:type="dxa"/>
              <w:bottom w:w="100" w:type="dxa"/>
              <w:left w:w="100" w:type="dxa"/>
              <w:right w:type="dxa" w:w="100"/>
            </w:tcMar>
          </w:tcPr>
          <w:p>
            <w:r>
              <w:rPr>
                <w:color w:val="333333"/>
                <w:sz w:val="18"/>
              </w:rPr>
              <w:t>Multi-container Docker Compose (API + Dashboard + Redis Cache)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00" w:type="dxa"/>
              <w:right w:type="dxa" w:w="100"/>
            </w:tcMar>
          </w:tcPr>
          <w:p>
            <w:r>
              <w:rPr>
                <w:color w:val="333333"/>
                <w:sz w:val="18"/>
              </w:rPr>
              <w:t>Monitoring &amp; Drift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00" w:type="dxa"/>
              <w:right w:type="dxa" w:w="100"/>
            </w:tcMar>
          </w:tcPr>
          <w:p>
            <w:r>
              <w:rPr>
                <w:color w:val="333333"/>
                <w:sz w:val="18"/>
              </w:rPr>
              <w:t>System telemetry &amp; basic metrics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00" w:type="dxa"/>
              <w:right w:type="dxa" w:w="100"/>
            </w:tcMar>
          </w:tcPr>
          <w:p>
            <w:r>
              <w:rPr>
                <w:color w:val="333333"/>
                <w:sz w:val="18"/>
              </w:rPr>
              <w:t>Population Stability Index (PSI) &amp; Kolmogorov-Smirnov feature drift audits</w:t>
            </w:r>
          </w:p>
        </w:tc>
      </w:tr>
      <w:tr>
        <w:tc>
          <w:tcPr>
            <w:tcW w:type="dxa" w:w="3120"/>
            <w:shd w:fill="F9FAFB"/>
            <w:tcMar>
              <w:top w:w="100" w:type="dxa"/>
              <w:bottom w:w="100" w:type="dxa"/>
              <w:left w:w="100" w:type="dxa"/>
              <w:right w:type="dxa" w:w="100"/>
            </w:tcMar>
          </w:tcPr>
          <w:p>
            <w:r>
              <w:rPr>
                <w:color w:val="333333"/>
                <w:sz w:val="18"/>
              </w:rPr>
              <w:t>Feature Store &amp; Feedback</w:t>
            </w:r>
          </w:p>
        </w:tc>
        <w:tc>
          <w:tcPr>
            <w:tcW w:type="dxa" w:w="3120"/>
            <w:shd w:fill="F9FAFB"/>
            <w:tcMar>
              <w:top w:w="100" w:type="dxa"/>
              <w:bottom w:w="100" w:type="dxa"/>
              <w:left w:w="100" w:type="dxa"/>
              <w:right w:type="dxa" w:w="100"/>
            </w:tcMar>
          </w:tcPr>
          <w:p>
            <w:r>
              <w:rPr>
                <w:color w:val="333333"/>
                <w:sz w:val="18"/>
              </w:rPr>
              <w:t>In-memory feature registry</w:t>
            </w:r>
          </w:p>
        </w:tc>
        <w:tc>
          <w:tcPr>
            <w:tcW w:type="dxa" w:w="3120"/>
            <w:shd w:fill="F9FAFB"/>
            <w:tcMar>
              <w:top w:w="100" w:type="dxa"/>
              <w:bottom w:w="100" w:type="dxa"/>
              <w:left w:w="100" w:type="dxa"/>
              <w:right w:type="dxa" w:w="100"/>
            </w:tcMar>
          </w:tcPr>
          <w:p>
            <w:r>
              <w:rPr>
                <w:color w:val="333333"/>
                <w:sz w:val="18"/>
              </w:rPr>
              <w:t>Feast/Redis online feature store + Analyst active learning review store</w:t>
            </w:r>
          </w:p>
        </w:tc>
      </w:tr>
    </w:tbl>
    <w:p>
      <w:pPr>
        <w:spacing w:after="200"/>
      </w:pPr>
    </w:p>
    <w:p>
      <w:pPr>
        <w:pStyle w:val="Heading1"/>
        <w:keepNext/>
        <w:spacing w:before="280" w:after="120"/>
      </w:pPr>
      <w:r>
        <w:rPr>
          <w:b/>
          <w:color w:val="1B365D"/>
          <w:sz w:val="36"/>
        </w:rPr>
        <w:t>3. Execution Commands Guide</w:t>
      </w:r>
    </w:p>
    <w:p>
      <w:pPr>
        <w:spacing w:before="8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4F4"/>
            <w:tcMar>
              <w:top w:w="100" w:type="dxa"/>
              <w:bottom w:w="100" w:type="dxa"/>
              <w:left w:w="150" w:type="dxa"/>
              <w:right w:type="dxa" w:w="150"/>
            </w:tcMar>
          </w:tcPr>
          <w:p>
            <w:r>
              <w:rPr>
                <w:rFonts w:ascii="Consolas" w:hAnsi="Consolas"/>
                <w:color w:val="111111"/>
                <w:sz w:val="18"/>
              </w:rPr>
              <w:t># --- OPTION 1: STANDARD LOCAL ML PIPELINE ---</w:t>
              <w:br/>
              <w:t>python scripts/run_pipeline.py --mode standard</w:t>
              <w:br/>
              <w:t>python -m pytest tests/ -v</w:t>
              <w:br/>
              <w:t>streamlit run dashboard/app.py</w:t>
              <w:br/>
              <w:br/>
              <w:t># --- OPTION 2: ENTERPRISE PRODUCTION STACK ---</w:t>
              <w:br/>
              <w:t>python scripts/run_pipeline.py --mode production</w:t>
              <w:br/>
              <w:t>docker-compose up --build</w:t>
              <w:br/>
            </w:r>
          </w:p>
        </w:tc>
      </w:tr>
    </w:tbl>
    <w:p>
      <w:pPr>
        <w:spacing w:after="280"/>
      </w:pPr>
    </w:p>
    <w:p>
      <w:pPr>
        <w:jc w:val="center"/>
      </w:pPr>
      <w:r>
        <w:rPr>
          <w:i/>
          <w:color w:val="888888"/>
          <w:sz w:val="20"/>
        </w:rPr>
        <w:t>--- End of Technical Specification Document | Adey Innovations Inc. ---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