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Arial" w:hAnsi="Arial"/>
          <w:b/>
          <w:color w:val="1B365D"/>
          <w:sz w:val="44"/>
        </w:rPr>
        <w:t>Enterprise Fraud Detection System:</w:t>
        <w:br/>
        <w:t>System Capabilities &amp; Technical Architecture</w:t>
      </w:r>
    </w:p>
    <w:p>
      <w:pPr>
        <w:spacing w:after="480"/>
        <w:jc w:val="center"/>
      </w:pPr>
      <w:r>
        <w:rPr>
          <w:rFonts w:ascii="Arial" w:hAnsi="Arial"/>
          <w:i/>
          <w:color w:val="666666"/>
          <w:sz w:val="24"/>
        </w:rPr>
        <w:t>Adey Innovations Inc. | Production System Technical Documentation</w:t>
      </w:r>
    </w:p>
    <w:p>
      <w:pPr>
        <w:pStyle w:val="Heading1"/>
        <w:keepNext/>
        <w:spacing w:before="280" w:after="120"/>
      </w:pPr>
      <w:r>
        <w:rPr>
          <w:b/>
          <w:color w:val="1B365D"/>
          <w:sz w:val="36"/>
        </w:rPr>
        <w:t>1. Executive Summary</w:t>
      </w:r>
    </w:p>
    <w:p>
      <w:pPr>
        <w:spacing w:after="200" w:line="276" w:lineRule="auto"/>
      </w:pPr>
      <w:r>
        <w:t>This document presents the complete technical architecture and operational capabilities of the production-grade Fraud Detection System built for Adey Innovations Inc. The system operates across e-commerce and banking payment channels, providing real-time transaction scoring, automated decisioning, model explainability, and multi-channel monitoring.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4F8"/>
            <w:tcMar>
              <w:top w:w="140" w:type="dxa"/>
              <w:bottom w:w="140" w:type="dxa"/>
              <w:left w:w="200" w:type="dxa"/>
              <w:right w:type="dxa" w:w="200"/>
            </w:tcMar>
            <w:tcBorders>
              <w:left w:val="single" w:sz="24" w:space="0" w:color="1B365D"/>
              <w:top w:val="none"/>
              <w:right w:val="none"/>
              <w:bottom w:val="none"/>
            </w:tcBorders>
          </w:tcPr>
          <w:p>
            <w:pPr>
              <w:spacing w:before="40" w:after="40"/>
            </w:pPr>
            <w:r>
              <w:rPr>
                <w:b/>
                <w:color w:val="1B365D"/>
                <w:sz w:val="22"/>
              </w:rPr>
              <w:t>📌 Core Production Capabilities</w:t>
              <w:br/>
            </w:r>
            <w:r>
              <w:rPr>
                <w:color w:val="222222"/>
                <w:sz w:val="21"/>
              </w:rPr>
              <w:t>• Zero Data-Leakage Training: SMOTE resampling is applied strictly to training splits (X_train) after train-test splitting.</w:t>
              <w:br/>
              <w:t>• Domain Signal Feature Engineering: Point-in-time calculation of transaction velocity (spending_speed), account age (time_since_signup), and explicit business flags (is_new_user, is_rapid_spender, is_high_value).</w:t>
              <w:br/>
              <w:t>• Automated Fraud Decision Engine: Combines ML risk scores with hard business rules to output ALLOW, REVIEW, or BLOCK decisions with standardized reason codes and risk bands (LOW, MEDIUM, HIGH, CRITICAL).</w:t>
              <w:br/>
              <w:t>• Real-Time REST API Serving: FastAPI microservice exposing /predict, /predict/batch, and health monitoring endpoints.</w:t>
              <w:br/>
              <w:t>• Multi-Page Interactive Dashboard: Streamlit control application featuring dataset caching (@st.cache_data), live CSV upload scoring, transaction inspection, and SHAP risk factor plots.</w:t>
              <w:br/>
              <w:t>• Automated Pytest Validation Suite: 100% passing test suite covering data validation, preprocessing, feature extraction, decision rules, and API endpoints.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80" w:after="120"/>
      </w:pPr>
      <w:r>
        <w:rPr>
          <w:b/>
          <w:color w:val="1B365D"/>
          <w:sz w:val="36"/>
        </w:rPr>
        <w:t>2. System Architecture &amp; Core Modules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B365D"/>
            <w:tcMar>
              <w:top w:w="120" w:type="dxa"/>
              <w:bottom w:w="120" w:type="dxa"/>
              <w:left w:w="100" w:type="dxa"/>
              <w:right w:type="dxa" w:w="100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Subsystem Layer</w:t>
            </w:r>
          </w:p>
        </w:tc>
        <w:tc>
          <w:tcPr>
            <w:tcW w:type="dxa" w:w="3120"/>
            <w:shd w:fill="1B365D"/>
            <w:tcMar>
              <w:top w:w="120" w:type="dxa"/>
              <w:bottom w:w="120" w:type="dxa"/>
              <w:left w:w="100" w:type="dxa"/>
              <w:right w:type="dxa" w:w="100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Module Location</w:t>
            </w:r>
          </w:p>
        </w:tc>
        <w:tc>
          <w:tcPr>
            <w:tcW w:type="dxa" w:w="3120"/>
            <w:shd w:fill="1B365D"/>
            <w:tcMar>
              <w:top w:w="120" w:type="dxa"/>
              <w:bottom w:w="120" w:type="dxa"/>
              <w:left w:w="100" w:type="dxa"/>
              <w:right w:type="dxa" w:w="100"/>
            </w:tcMar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Key Production Functionality</w:t>
            </w:r>
          </w:p>
        </w:tc>
      </w:tr>
      <w:tr>
        <w:tc>
          <w:tcPr>
            <w:tcW w:type="dxa" w:w="3120"/>
            <w:shd w:fill="F9FAFB"/>
            <w:tcMar>
              <w:top w:w="100" w:type="dxa"/>
              <w:bottom w:w="100" w:type="dxa"/>
              <w:left w:w="100" w:type="dxa"/>
              <w:right w:type="dxa" w:w="100"/>
            </w:tcMar>
          </w:tcPr>
          <w:p>
            <w:r>
              <w:rPr>
                <w:color w:val="333333"/>
                <w:sz w:val="18"/>
              </w:rPr>
              <w:t>Central Configuration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00" w:type="dxa"/>
              <w:right w:type="dxa" w:w="100"/>
            </w:tcMar>
          </w:tcPr>
          <w:p>
            <w:r>
              <w:rPr>
                <w:color w:val="333333"/>
                <w:sz w:val="18"/>
              </w:rPr>
              <w:t>src/config/settings.py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00" w:type="dxa"/>
              <w:right w:type="dxa" w:w="100"/>
            </w:tcMar>
          </w:tcPr>
          <w:p>
            <w:r>
              <w:rPr>
                <w:color w:val="333333"/>
                <w:sz w:val="18"/>
              </w:rPr>
              <w:t>Defines system paths, random seed (42), decision threshold (0.35), risk bands, and financial cost parameters.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00" w:type="dxa"/>
              <w:right w:type="dxa" w:w="100"/>
            </w:tcMar>
          </w:tcPr>
          <w:p>
            <w:r>
              <w:rPr>
                <w:color w:val="333333"/>
                <w:sz w:val="18"/>
              </w:rPr>
              <w:t>Data Contract &amp; Quality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00" w:type="dxa"/>
              <w:right w:type="dxa" w:w="100"/>
            </w:tcMar>
          </w:tcPr>
          <w:p>
            <w:r>
              <w:rPr>
                <w:color w:val="333333"/>
                <w:sz w:val="18"/>
              </w:rPr>
              <w:t>src/data/data_contract.py</w:t>
              <w:br/>
              <w:t>src/data/validation.py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00" w:type="dxa"/>
              <w:right w:type="dxa" w:w="100"/>
            </w:tcMar>
          </w:tcPr>
          <w:p>
            <w:r>
              <w:rPr>
                <w:color w:val="333333"/>
                <w:sz w:val="18"/>
              </w:rPr>
              <w:t>Enforces Pydantic TransactionSchema validation and performs automated data quality checks (nulls, duplicates, invalid values).</w:t>
            </w:r>
          </w:p>
        </w:tc>
      </w:tr>
      <w:tr>
        <w:tc>
          <w:tcPr>
            <w:tcW w:type="dxa" w:w="3120"/>
            <w:shd w:fill="F9FAFB"/>
            <w:tcMar>
              <w:top w:w="100" w:type="dxa"/>
              <w:bottom w:w="100" w:type="dxa"/>
              <w:left w:w="100" w:type="dxa"/>
              <w:right w:type="dxa" w:w="100"/>
            </w:tcMar>
          </w:tcPr>
          <w:p>
            <w:r>
              <w:rPr>
                <w:color w:val="333333"/>
                <w:sz w:val="18"/>
              </w:rPr>
              <w:t>Leakage-Proof Preprocessing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00" w:type="dxa"/>
              <w:right w:type="dxa" w:w="100"/>
            </w:tcMar>
          </w:tcPr>
          <w:p>
            <w:r>
              <w:rPr>
                <w:color w:val="333333"/>
                <w:sz w:val="18"/>
              </w:rPr>
              <w:t>src/preprocessing/preprocessor.py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00" w:type="dxa"/>
              <w:right w:type="dxa" w:w="100"/>
            </w:tcMar>
          </w:tcPr>
          <w:p>
            <w:r>
              <w:rPr>
                <w:color w:val="333333"/>
                <w:sz w:val="18"/>
              </w:rPr>
              <w:t>Performs cleaning, binary search IP-to-country geolocation lookup, categorical encoding, and StandardScaler feature normalization.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00" w:type="dxa"/>
              <w:right w:type="dxa" w:w="100"/>
            </w:tcMar>
          </w:tcPr>
          <w:p>
            <w:r>
              <w:rPr>
                <w:color w:val="333333"/>
                <w:sz w:val="18"/>
              </w:rPr>
              <w:t>Feature Engineering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00" w:type="dxa"/>
              <w:right w:type="dxa" w:w="100"/>
            </w:tcMar>
          </w:tcPr>
          <w:p>
            <w:r>
              <w:rPr>
                <w:color w:val="333333"/>
                <w:sz w:val="18"/>
              </w:rPr>
              <w:t>src/features/engineering.py</w:t>
              <w:br/>
              <w:t>src/features/registry.py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00" w:type="dxa"/>
              <w:right w:type="dxa" w:w="100"/>
            </w:tcMar>
          </w:tcPr>
          <w:p>
            <w:r>
              <w:rPr>
                <w:color w:val="333333"/>
                <w:sz w:val="18"/>
              </w:rPr>
              <w:t>Extracts spending_speed, time_since_signup, is_new_user, is_rapid_spender, is_high_value, and maintains feature registry.</w:t>
            </w:r>
          </w:p>
        </w:tc>
      </w:tr>
      <w:tr>
        <w:tc>
          <w:tcPr>
            <w:tcW w:type="dxa" w:w="3120"/>
            <w:shd w:fill="F9FAFB"/>
            <w:tcMar>
              <w:top w:w="100" w:type="dxa"/>
              <w:bottom w:w="100" w:type="dxa"/>
              <w:left w:w="100" w:type="dxa"/>
              <w:right w:type="dxa" w:w="100"/>
            </w:tcMar>
          </w:tcPr>
          <w:p>
            <w:r>
              <w:rPr>
                <w:color w:val="333333"/>
                <w:sz w:val="18"/>
              </w:rPr>
              <w:t>Fraud Decision Engine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00" w:type="dxa"/>
              <w:right w:type="dxa" w:w="100"/>
            </w:tcMar>
          </w:tcPr>
          <w:p>
            <w:r>
              <w:rPr>
                <w:color w:val="333333"/>
                <w:sz w:val="18"/>
              </w:rPr>
              <w:t>src/decision/rules.py</w:t>
              <w:br/>
              <w:t>src/decision/risk_engine.py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00" w:type="dxa"/>
              <w:right w:type="dxa" w:w="100"/>
            </w:tcMar>
          </w:tcPr>
          <w:p>
            <w:r>
              <w:rPr>
                <w:color w:val="333333"/>
                <w:sz w:val="18"/>
              </w:rPr>
              <w:t>Evaluates hard policy rules and model probabilities into ALLOW, REVIEW, or BLOCK decisions with risk bands and reason codes.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00" w:type="dxa"/>
              <w:right w:type="dxa" w:w="100"/>
            </w:tcMar>
          </w:tcPr>
          <w:p>
            <w:r>
              <w:rPr>
                <w:color w:val="333333"/>
                <w:sz w:val="18"/>
              </w:rPr>
              <w:t>REST API &amp; Explainability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00" w:type="dxa"/>
              <w:right w:type="dxa" w:w="100"/>
            </w:tcMar>
          </w:tcPr>
          <w:p>
            <w:r>
              <w:rPr>
                <w:color w:val="333333"/>
                <w:sz w:val="18"/>
              </w:rPr>
              <w:t>src/api/main.py</w:t>
              <w:br/>
              <w:t>src/explainability/shap_explainer.py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00" w:type="dxa"/>
              <w:right w:type="dxa" w:w="100"/>
            </w:tcMar>
          </w:tcPr>
          <w:p>
            <w:r>
              <w:rPr>
                <w:color w:val="333333"/>
                <w:sz w:val="18"/>
              </w:rPr>
              <w:t>FastAPI microservice serving /predict and /predict/batch requests with SHAP feature contribution explanations.</w:t>
            </w:r>
          </w:p>
        </w:tc>
      </w:tr>
    </w:tbl>
    <w:p>
      <w:pPr>
        <w:spacing w:after="200"/>
      </w:pPr>
    </w:p>
    <w:p>
      <w:pPr>
        <w:pStyle w:val="Heading1"/>
        <w:keepNext/>
        <w:spacing w:before="280" w:after="120"/>
      </w:pPr>
      <w:r>
        <w:rPr>
          <w:b/>
          <w:color w:val="1B365D"/>
          <w:sz w:val="36"/>
        </w:rPr>
        <w:t>3. Detailed System Capabilities</w:t>
      </w:r>
    </w:p>
    <w:p>
      <w:pPr>
        <w:pStyle w:val="Heading2"/>
        <w:keepNext/>
        <w:spacing w:before="280" w:after="120"/>
      </w:pPr>
      <w:r>
        <w:rPr>
          <w:b/>
          <w:color w:val="006699"/>
          <w:sz w:val="28"/>
        </w:rPr>
        <w:t>3.1 Automated Fraud Decision Engine</w:t>
      </w:r>
    </w:p>
    <w:p>
      <w:pPr>
        <w:spacing w:line="276" w:lineRule="auto"/>
      </w:pPr>
      <w:r>
        <w:t>The decision engine moves beyond returning a simple probability by wrapping model inference with configurable business policy rules:</w:t>
        <w:br/>
        <w:t>• ALLOW: Low probability (&lt; 0.35) and no policy rule violations.</w:t>
        <w:br/>
        <w:t>• REVIEW: Medium-to-high risk (0.35 - 0.70) or non-critical policy triggers; routed to human analyst queue.</w:t>
        <w:br/>
        <w:t>• BLOCK: High probability (&gt;= 0.70) or hard rule triggers (e.g. instant purchase &lt; 6 minutes after signup or extreme velocity &gt; 20.0).</w:t>
        <w:br/>
        <w:br/>
        <w:t>Risk Bands: Assigned dynamically as LOW (0.0-0.2), MEDIUM (0.2-0.5), HIGH (0.5-0.8), or CRITICAL (0.8-1.0).</w:t>
      </w:r>
    </w:p>
    <w:p>
      <w:pPr>
        <w:pStyle w:val="Heading2"/>
        <w:keepNext/>
        <w:spacing w:before="280" w:after="120"/>
      </w:pPr>
      <w:r>
        <w:rPr>
          <w:b/>
          <w:color w:val="006699"/>
          <w:sz w:val="28"/>
        </w:rPr>
        <w:t>3.2 Production FastAPI REST Microservice</w:t>
      </w:r>
    </w:p>
    <w:p>
      <w:pPr>
        <w:spacing w:line="276" w:lineRule="auto"/>
      </w:pPr>
      <w:r>
        <w:t>Built using FastAPI and Uvicorn, the API provides high-throughput real-time inference endpoints:</w:t>
        <w:br/>
        <w:t>• POST /predict: Accepts a single transaction JSON payload; returns score, decision, risk band, and top SHAP risk factors.</w:t>
        <w:br/>
        <w:t>• POST /predict/batch: Scores an array of transaction payloads in a single request.</w:t>
        <w:br/>
        <w:t>• GET /health &amp; GET /ready: Microservice health check and model loading verification.</w:t>
        <w:br/>
        <w:t>• GET /model/info: Exposes active model version, decision threshold, and feature schema.</w:t>
      </w:r>
    </w:p>
    <w:p>
      <w:pPr>
        <w:pStyle w:val="Heading2"/>
        <w:keepNext/>
        <w:spacing w:before="280" w:after="120"/>
      </w:pPr>
      <w:r>
        <w:rPr>
          <w:b/>
          <w:color w:val="006699"/>
          <w:sz w:val="28"/>
        </w:rPr>
        <w:t>3.3 Multi-Page Control Dashboard</w:t>
      </w:r>
    </w:p>
    <w:p>
      <w:pPr>
        <w:spacing w:line="276" w:lineRule="auto"/>
      </w:pPr>
      <w:r>
        <w:t>The Streamlit dashboard features a multi-page architecture with dataset caching (@st.cache_data):</w:t>
        <w:br/>
        <w:t>1. Overview: High-level dataset metrics, class distributions, and purchase value histograms.</w:t>
        <w:br/>
        <w:t>2. Fraud Alerts: Real-time alert stream table with interactive filters for BLOCK and REVIEW decisions.</w:t>
        <w:br/>
        <w:t>3. Transaction Investigation: Live CSV file upload scoring and single-transaction inspector with SHAP impact bar charts.</w:t>
        <w:br/>
        <w:t>4. Model Performance: AUC-PR, ROC-AUC, confusion matrix, threshold tuning slider, and cost analysis.</w:t>
        <w:br/>
        <w:t>5. Data Quality: Schema validation status, null counts, duplicate records, and invalid amount reports.</w:t>
        <w:br/>
        <w:t>6. System Health: Service uptime, request telemetry, and model artifact metadata.</w:t>
      </w:r>
    </w:p>
    <w:p>
      <w:pPr>
        <w:pStyle w:val="Heading1"/>
        <w:keepNext/>
        <w:spacing w:before="280" w:after="120"/>
      </w:pPr>
      <w:r>
        <w:rPr>
          <w:b/>
          <w:color w:val="1B365D"/>
          <w:sz w:val="36"/>
        </w:rPr>
        <w:t>4. Financial Cost-Sensitive Evaluation Framework</w:t>
      </w:r>
    </w:p>
    <w:p>
      <w:pPr>
        <w:spacing w:line="276" w:lineRule="auto"/>
      </w:pPr>
      <w:r>
        <w:t>The system evaluates model performance using business cost metrics in addition to traditional statistical metrics:</w:t>
        <w:br/>
        <w:br/>
        <w:t>Total Cost = (FP × Cost_FP) + (FN × Cost_FN) + ((FP + TP) × Cost_Review)</w:t>
        <w:br/>
        <w:br/>
        <w:t>• Cost_FP ($10.00): Customer friction &amp; false positive notification cost.</w:t>
        <w:br/>
        <w:t>• Cost_FN ($150.00): Direct financial loss from uncaptured fraud.</w:t>
        <w:br/>
        <w:t>• Cost_Review ($5.00): Manual analyst investigation cost.</w:t>
        <w:br/>
        <w:br/>
        <w:t>Net Savings = Baseline Loss - Total Cost</w:t>
      </w:r>
    </w:p>
    <w:p>
      <w:pPr>
        <w:pStyle w:val="Heading1"/>
        <w:keepNext/>
        <w:spacing w:before="280" w:after="120"/>
      </w:pPr>
      <w:r>
        <w:rPr>
          <w:b/>
          <w:color w:val="1B365D"/>
          <w:sz w:val="36"/>
        </w:rPr>
        <w:t>5. System Execution Commands</w:t>
      </w:r>
    </w:p>
    <w:p>
      <w:pPr>
        <w:spacing w:before="80"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4F4"/>
            <w:tcMar>
              <w:top w:w="100" w:type="dxa"/>
              <w:bottom w:w="100" w:type="dxa"/>
              <w:left w:w="150" w:type="dxa"/>
              <w:right w:type="dxa" w:w="150"/>
            </w:tcMar>
          </w:tcPr>
          <w:p>
            <w:r>
              <w:rPr>
                <w:rFonts w:ascii="Consolas" w:hAnsi="Consolas"/>
                <w:color w:val="111111"/>
                <w:sz w:val="18"/>
              </w:rPr>
              <w:t># 1. Run End-to-End Orchestrator Pipeline</w:t>
              <w:br/>
              <w:t>python scripts/run_pipeline.py</w:t>
              <w:br/>
              <w:br/>
              <w:t># 2. Run Pytest Automated Validation Suite</w:t>
              <w:br/>
              <w:t>python -m pytest tests/ -v</w:t>
              <w:br/>
              <w:br/>
              <w:t># 3. Launch FastAPI REST Service (http://127.0.0.1:8000)</w:t>
              <w:br/>
              <w:t>uvicorn src.api.main:app --reload --port 8000</w:t>
              <w:br/>
              <w:br/>
              <w:t># 4. Launch Multi-Page Streamlit Dashboard</w:t>
              <w:br/>
              <w:t>streamlit run dashboard/app.py</w:t>
              <w:br/>
            </w:r>
          </w:p>
        </w:tc>
      </w:tr>
    </w:tbl>
    <w:p>
      <w:pPr>
        <w:spacing w:after="280"/>
      </w:pPr>
    </w:p>
    <w:p>
      <w:pPr>
        <w:jc w:val="center"/>
      </w:pPr>
      <w:r>
        <w:rPr>
          <w:i/>
          <w:color w:val="888888"/>
          <w:sz w:val="20"/>
        </w:rPr>
        <w:t>--- End of Technical Architecture Document | Adey Innovations Inc. ---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