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B365D"/>
          <w:sz w:val="44"/>
        </w:rPr>
        <w:t>GMF INVESTMENTS: QUANTITATIVE ANALYTICS &amp; EXTENSION ROADMAP</w:t>
      </w:r>
    </w:p>
    <w:p>
      <w:pPr>
        <w:spacing w:after="280"/>
      </w:pPr>
      <w:r>
        <w:rPr>
          <w:i/>
          <w:color w:val="7F8C8D"/>
          <w:sz w:val="24"/>
        </w:rPr>
        <w:t>Comprehensive Technical Note &amp; Project Extension Roadmap — Reproduction, Leakage Prevention, Naive Baselines, Risk Parity / Black-Litterman, Realistic Costs &amp; Automated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4495E"/>
                <w:sz w:val="18"/>
              </w:rPr>
              <w:t>Author: Dagmawi Ayenew (ayenewdagmawi@gmail.com)</w:t>
            </w:r>
          </w:p>
        </w:tc>
        <w:tc>
          <w:tcPr>
            <w:tcW w:type="dxa" w:w="4824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4495E"/>
                <w:sz w:val="18"/>
              </w:rPr>
              <w:t>Asset Universe: TSLA, SPY, BND</w:t>
            </w:r>
          </w:p>
        </w:tc>
      </w:tr>
      <w:tr>
        <w:tc>
          <w:tcPr>
            <w:tcW w:type="dxa" w:w="4824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4495E"/>
                <w:sz w:val="18"/>
              </w:rPr>
              <w:t>Pipeline: Central Config / Python 3 / PyTest / SciPy</w:t>
            </w:r>
          </w:p>
        </w:tc>
        <w:tc>
          <w:tcPr>
            <w:tcW w:type="dxa" w:w="4824"/>
            <w:shd w:fill="F4F6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34495E"/>
                <w:sz w:val="18"/>
              </w:rPr>
              <w:t>Roadmap Status: Fully Implemented &amp; Verified (Aug 2026)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b/>
          <w:color w:val="182B49"/>
          <w:sz w:val="34"/>
        </w:rPr>
        <w:t>1. Executive Summary &amp; Strategic Objectives</w:t>
      </w:r>
    </w:p>
    <w:p>
      <w:r>
        <w:t>This document integrates the full technical implementation of the GMF Investments quantitative analytics project and its comprehensive Improvement &amp; Extension Roadmap. The pipeline analyzes three strategic assets: TSLA (Growth Equity), SPY (S&amp;P 500 ETF), and BND (Total Bond Market ETF). The analytical engine encompasses data contracts, stationarity testing, naive baseline models, classical SARIMA vs deep learning LSTM forecasting, Markowitz &amp; advanced portfolio optimization (Risk Parity, Black-Litterman), and net-of-cost out-of-sample backtesting.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B365D"/>
              </w:rPr>
              <w:t xml:space="preserve">📌 EXECUTIVE HIGHLIGHT: </w:t>
            </w:r>
            <w:r>
              <w:rPr>
                <w:color w:val="2C3E50"/>
                <w:sz w:val="21"/>
              </w:rPr>
              <w:t>The project has been upgraded to a 100% reproducible architecture driven by a single configuration file (configs/config.json) and master entry point (main.py). Out-of-sample backtesting under realistic transaction costs (10 bps) demonstrates that the Strategy Portfolio (55.34% BND / 44.66% SPY) achieves a superior net Sharpe Ratio of 0.97 vs. 0.93 for the 60/40 benchmark, confirming that downside volatility control exceeds raw return chasing in quantitative risk management.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b/>
          <w:color w:val="182B49"/>
          <w:sz w:val="34"/>
        </w:rPr>
        <w:t>2. Data Engineering &amp; Extended Risk Analytics</w:t>
      </w:r>
    </w:p>
    <w:p>
      <w:r>
        <w:t>Strict data contracts (src/data_contracts.py) enforce non-zero price checks, date continuity, alignment across assets, and positive semi-definiteness of covariance matrices prior to model consumption. Extended risk analytics incorporate Sortino Ratio, Calmar Ratio, Maximum Drawdown duration, and 95%/99% Expected Shortfall (CVaR).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 Return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 Volatility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Sharpe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Sortino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Calmar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DD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95% VaR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95% CVaR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TSLA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14.20%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35.21%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0.640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0.982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0.231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61.42%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5.67%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8.12%</w:t>
            </w:r>
          </w:p>
        </w:tc>
      </w:tr>
      <w:tr>
        <w:tc>
          <w:tcPr>
            <w:tcW w:type="dxa" w:w="11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SPY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5.21%</w:t>
            </w:r>
          </w:p>
        </w:tc>
        <w:tc>
          <w:tcPr>
            <w:tcW w:type="dxa" w:w="144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11.20%</w:t>
            </w:r>
          </w:p>
        </w:tc>
        <w:tc>
          <w:tcPr>
            <w:tcW w:type="dxa" w:w="100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0.739</w:t>
            </w:r>
          </w:p>
        </w:tc>
        <w:tc>
          <w:tcPr>
            <w:tcW w:type="dxa" w:w="100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1.145</w:t>
            </w:r>
          </w:p>
        </w:tc>
        <w:tc>
          <w:tcPr>
            <w:tcW w:type="dxa" w:w="100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0.267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19.51%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1.80%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2.64%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BND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0.75%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3.46%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0.344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0.481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0.042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17.80%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0.56%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0.83%</w:t>
            </w:r>
          </w:p>
        </w:tc>
      </w:tr>
    </w:tbl>
    <w:p>
      <w:pPr>
        <w:spacing w:after="16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1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price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8"/>
        </w:rPr>
        <w:t>Figure: 10-Year Historical Price Trends for TSLA, SPY, and BND.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volatilit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8"/>
        </w:rPr>
        <w:t>Figure: 30-Day Rolling Volatility Comparison across Assets.</w:t>
      </w:r>
    </w:p>
    <w:p>
      <w:pPr>
        <w:pStyle w:val="Heading1"/>
        <w:keepNext/>
        <w:spacing w:before="280" w:after="120"/>
      </w:pPr>
      <w:r>
        <w:rPr>
          <w:b/>
          <w:color w:val="182B49"/>
          <w:sz w:val="34"/>
        </w:rPr>
        <w:t>3. Forecasting Benchmarking &amp; Naive Baselines</w:t>
      </w:r>
    </w:p>
    <w:p>
      <w:r>
        <w:t>To ensure complex machine learning models provide genuine predictive value out-of-sample, simple naive baselines (Random Walk Last-Value, Seasonal Naive, 30-Day Moving Average) were introduced alongside SARIMA and LSTM networks.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30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Architecture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 ($)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($)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MAPE (%)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Walk-Forward Stability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Interpretability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Naive Last-Value (Random Walk)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31.20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39.45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14.80%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Baseline Benchmark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High</w:t>
            </w:r>
          </w:p>
        </w:tc>
      </w:tr>
      <w:tr>
        <w:tc>
          <w:tcPr>
            <w:tcW w:type="dxa" w:w="230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Moving Average (30-Day)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34.50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42.10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16.10%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Lagging Indicator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High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SARIMA(0,1,1)x(0,1,1,12)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28.45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36.12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13.24%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Moderate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Explicit 95% CI</w:t>
            </w:r>
          </w:p>
        </w:tc>
      </w:tr>
      <w:tr>
        <w:tc>
          <w:tcPr>
            <w:tcW w:type="dxa" w:w="230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LSTM Neural Network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19.82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25.64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9.15%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Superior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Non-linear / Black-Box</w:t>
            </w:r>
          </w:p>
        </w:tc>
      </w:tr>
    </w:tbl>
    <w:p>
      <w:pPr>
        <w:spacing w:after="16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la_sarima_12m_forec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8"/>
        </w:rPr>
        <w:t>Figure: 12-Month SARIMA Forecast for TSLA with 95% Confidence Bounds.</w:t>
      </w:r>
    </w:p>
    <w:p>
      <w:pPr>
        <w:pStyle w:val="Heading1"/>
        <w:keepNext/>
        <w:spacing w:before="280" w:after="120"/>
      </w:pPr>
      <w:r>
        <w:rPr>
          <w:b/>
          <w:color w:val="182B49"/>
          <w:sz w:val="34"/>
        </w:rPr>
        <w:t>4. Advanced Portfolio Optimization &amp; Sensitivity Analysis</w:t>
      </w:r>
    </w:p>
    <w:p>
      <w:r>
        <w:t>Markowitz mean-variance optimization was upgraded to include Risk Parity (Equal Risk Contribution) and Black-Litterman allocations, as well as expected return sensitivity stress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230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Allocation Strategy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TSLA %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BND %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SPY %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Return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Volatility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Sharpe Ratio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Equal Weight (1/N)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33.33%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33.33%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33.33%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10.65%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17.42%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0.611</w:t>
            </w:r>
          </w:p>
        </w:tc>
      </w:tr>
      <w:tr>
        <w:tc>
          <w:tcPr>
            <w:tcW w:type="dxa" w:w="230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Minimum Volatility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0.00%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95.62%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4.38%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2.29%</w:t>
            </w:r>
          </w:p>
        </w:tc>
        <w:tc>
          <w:tcPr>
            <w:tcW w:type="dxa" w:w="144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5.38%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0.426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Maximum Sharpe Ratio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0.00%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55.34%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44.66%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6.72%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9.04%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0.743</w:t>
            </w:r>
          </w:p>
        </w:tc>
      </w:tr>
      <w:tr>
        <w:tc>
          <w:tcPr>
            <w:tcW w:type="dxa" w:w="230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Risk Parity (ERC)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4.12%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78.45%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17.43%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3.41%</w:t>
            </w:r>
          </w:p>
        </w:tc>
        <w:tc>
          <w:tcPr>
            <w:tcW w:type="dxa" w:w="1440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6.12%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0.557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Black-Litterman (Model Prior)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0.00%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52.10%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47.90%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7.15%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9.35%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0.765</w:t>
            </w:r>
          </w:p>
        </w:tc>
      </w:tr>
    </w:tbl>
    <w:p>
      <w:pPr>
        <w:spacing w:after="16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_front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8"/>
        </w:rPr>
        <w:t>Figure: Markowitz Efficient Frontier &amp; Portfolio Allocations.</w:t>
      </w:r>
    </w:p>
    <w:p>
      <w:pPr>
        <w:pStyle w:val="Heading1"/>
        <w:keepNext/>
        <w:spacing w:before="280" w:after="120"/>
      </w:pPr>
      <w:r>
        <w:rPr>
          <w:b/>
          <w:color w:val="182B49"/>
          <w:sz w:val="34"/>
        </w:rPr>
        <w:t>5. Realistic Backtesting with Transaction Costs</w:t>
      </w:r>
    </w:p>
    <w:p>
      <w:r>
        <w:t>Out-of-sample backtesting (Aug 2024 – Jul 2025) was evaluated under 10 bps (0.1%) transaction costs per rebalance trade. Results show that the Strategy Portfolio maintained its risk-adjusted superiority after all trading frictions.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230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Strategy Profile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Gross Return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 Return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 Volatility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 Sharpe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 Sortino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DD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 Turnover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Strategy (55.3% BND, 44.7% SPY)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9.18%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9.07%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9.35%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0.970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1.412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5.12%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12.40%</w:t>
            </w:r>
          </w:p>
        </w:tc>
      </w:tr>
      <w:tr>
        <w:tc>
          <w:tcPr>
            <w:tcW w:type="dxa" w:w="230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Benchmark (60% SPY, 40% BND)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11.16%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11.08%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11.91%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0.930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1.320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7.84%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8.20%</w:t>
            </w:r>
          </w:p>
        </w:tc>
      </w:tr>
    </w:tbl>
    <w:p>
      <w:pPr>
        <w:spacing w:after="16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cumulative_retu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8"/>
        </w:rPr>
        <w:t>Figure: Cumulative Growth of $1.00 Net of Transaction Costs.</w:t>
      </w:r>
    </w:p>
    <w:p>
      <w:pPr>
        <w:pStyle w:val="Heading1"/>
        <w:keepNext/>
        <w:spacing w:before="280" w:after="120"/>
      </w:pPr>
      <w:r>
        <w:rPr>
          <w:b/>
          <w:color w:val="182B49"/>
          <w:sz w:val="34"/>
        </w:rPr>
        <w:t>6. Implementation Roadmap &amp; Architectural Verification</w:t>
      </w:r>
    </w:p>
    <w:p>
      <w:r>
        <w:t>All 14 points of the GMF Investments Extension Roadmap have been engineered into the codebase: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Technical Upgrade</w:t>
            </w:r>
          </w:p>
        </w:tc>
        <w:tc>
          <w:tcPr>
            <w:tcW w:type="dxa" w:w="47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Implementation Status &amp;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Central Reproducibility Config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configs/config.json created; random seeds pinned.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2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Data Contracts &amp; Leakage Prevention</w:t>
            </w:r>
          </w:p>
        </w:tc>
        <w:tc>
          <w:tcPr>
            <w:tcW w:type="dxa" w:w="47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src/data_contracts.py verifies schema &amp; non-positive prices.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Naive Forecasting Baselines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Naive Last-Value &amp; Moving Average baselines integrated in src/models.py.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4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Walk-Forward Validation Engine</w:t>
            </w:r>
          </w:p>
        </w:tc>
        <w:tc>
          <w:tcPr>
            <w:tcW w:type="dxa" w:w="47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src/validation.py implements rolling time-series CV.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Comprehensive Risk Engine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src/risk.py computes Sortino, Calmar, Max DD, CVaR 95%/99%.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6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Advanced Portfolio Models</w:t>
            </w:r>
          </w:p>
        </w:tc>
        <w:tc>
          <w:tcPr>
            <w:tcW w:type="dxa" w:w="47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Risk Parity, Black-Litterman, and Sensitivity in src/portfolio.py.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Realistic Net Backtesting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src/backtesting.py handles transaction costs &amp; turnover.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8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Automated Unit Test Suite</w:t>
            </w:r>
          </w:p>
        </w:tc>
        <w:tc>
          <w:tcPr>
            <w:tcW w:type="dxa" w:w="4752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tests/test_pipeline.py validates contracts &amp; math.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8"/>
              </w:rPr>
              <w:t>Phase 9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Master Pipeline Orchestrator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C3E50"/>
                <w:sz w:val="18"/>
              </w:rPr>
              <w:t>main.py runs full pipeline end-to-end.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