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“Año de la Esperanza y el Fortalecimiento de la Democracia”</w:t>
      </w:r>
    </w:p>
    <w:p w:rsidR="00000000" w:rsidDel="00000000" w:rsidP="00000000" w:rsidRDefault="00000000" w:rsidRPr="00000000" w14:paraId="00000002">
      <w:pPr>
        <w:spacing w:after="0" w:line="276"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3">
      <w:pPr>
        <w:spacing w:after="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0"/>
          <w:szCs w:val="30"/>
          <w:rtl w:val="0"/>
        </w:rPr>
        <w:t xml:space="preserve">UNIVERSIDAD NACIONAL DE TRUJILLO</w:t>
      </w:r>
      <w:r w:rsidDel="00000000" w:rsidR="00000000" w:rsidRPr="00000000">
        <w:rPr>
          <w:rtl w:val="0"/>
        </w:rPr>
      </w:r>
    </w:p>
    <w:p w:rsidR="00000000" w:rsidDel="00000000" w:rsidP="00000000" w:rsidRDefault="00000000" w:rsidRPr="00000000" w14:paraId="00000004">
      <w:pPr>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676058" cy="1012767"/>
            <wp:effectExtent b="0" l="0" r="0" t="0"/>
            <wp:docPr id="2" name="image2.png"/>
            <a:graphic>
              <a:graphicData uri="http://schemas.openxmlformats.org/drawingml/2006/picture">
                <pic:pic>
                  <pic:nvPicPr>
                    <pic:cNvPr id="0" name="image2.png"/>
                    <pic:cNvPicPr preferRelativeResize="0"/>
                  </pic:nvPicPr>
                  <pic:blipFill>
                    <a:blip r:embed="rId7"/>
                    <a:srcRect b="7526" l="0" r="0" t="7333"/>
                    <a:stretch>
                      <a:fillRect/>
                    </a:stretch>
                  </pic:blipFill>
                  <pic:spPr>
                    <a:xfrm>
                      <a:off x="0" y="0"/>
                      <a:ext cx="1676058" cy="101276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line="276"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Facultad de Ingeniería - Carrera de Ingeniería de Sistemas</w:t>
      </w:r>
    </w:p>
    <w:p w:rsidR="00000000" w:rsidDel="00000000" w:rsidP="00000000" w:rsidRDefault="00000000" w:rsidRPr="00000000" w14:paraId="00000006">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spacing w:after="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08">
      <w:pPr>
        <w:spacing w:after="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Curso:</w:t>
        <w:tab/>
        <w:tab/>
      </w:r>
      <w:r w:rsidDel="00000000" w:rsidR="00000000" w:rsidRPr="00000000">
        <w:rPr>
          <w:rFonts w:ascii="Times New Roman" w:cs="Times New Roman" w:eastAsia="Times New Roman" w:hAnsi="Times New Roman"/>
          <w:sz w:val="26"/>
          <w:szCs w:val="26"/>
          <w:highlight w:val="white"/>
          <w:rtl w:val="0"/>
        </w:rPr>
        <w:t xml:space="preserve">INTERNET DE LAS COSAS</w:t>
      </w:r>
      <w:r w:rsidDel="00000000" w:rsidR="00000000" w:rsidRPr="00000000">
        <w:rPr>
          <w:rtl w:val="0"/>
        </w:rPr>
      </w:r>
    </w:p>
    <w:p w:rsidR="00000000" w:rsidDel="00000000" w:rsidP="00000000" w:rsidRDefault="00000000" w:rsidRPr="00000000" w14:paraId="00000009">
      <w:pPr>
        <w:spacing w:after="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0A">
      <w:pPr>
        <w:spacing w:after="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0B">
      <w:pPr>
        <w:spacing w:after="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Integrantes:</w:t>
      </w:r>
      <w:r w:rsidDel="00000000" w:rsidR="00000000" w:rsidRPr="00000000">
        <w:rPr>
          <w:rtl w:val="0"/>
        </w:rPr>
      </w:r>
    </w:p>
    <w:p w:rsidR="00000000" w:rsidDel="00000000" w:rsidP="00000000" w:rsidRDefault="00000000" w:rsidRPr="00000000" w14:paraId="0000000C">
      <w:pPr>
        <w:spacing w:after="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br w:type="textWrapping"/>
        <w:t xml:space="preserve">Cuba Moya, Diego Joel</w:t>
      </w:r>
    </w:p>
    <w:p w:rsidR="00000000" w:rsidDel="00000000" w:rsidP="00000000" w:rsidRDefault="00000000" w:rsidRPr="00000000" w14:paraId="0000000D">
      <w:pPr>
        <w:spacing w:after="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Herrera Rodriguez, Anghela Tatiana</w:t>
      </w:r>
    </w:p>
    <w:p w:rsidR="00000000" w:rsidDel="00000000" w:rsidP="00000000" w:rsidRDefault="00000000" w:rsidRPr="00000000" w14:paraId="0000000E">
      <w:pPr>
        <w:spacing w:after="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Polonio Ramos, Franco Imanol</w:t>
      </w:r>
    </w:p>
    <w:p w:rsidR="00000000" w:rsidDel="00000000" w:rsidP="00000000" w:rsidRDefault="00000000" w:rsidRPr="00000000" w14:paraId="0000000F">
      <w:pPr>
        <w:spacing w:after="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Robles Romero, Ronaldo Carlos</w:t>
      </w:r>
    </w:p>
    <w:p w:rsidR="00000000" w:rsidDel="00000000" w:rsidP="00000000" w:rsidRDefault="00000000" w:rsidRPr="00000000" w14:paraId="00000010">
      <w:pPr>
        <w:spacing w:after="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Villa Valdiviezo, Favian</w:t>
      </w:r>
    </w:p>
    <w:p w:rsidR="00000000" w:rsidDel="00000000" w:rsidP="00000000" w:rsidRDefault="00000000" w:rsidRPr="00000000" w14:paraId="00000011">
      <w:pPr>
        <w:spacing w:after="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2">
      <w:pPr>
        <w:spacing w:after="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3">
      <w:pPr>
        <w:spacing w:after="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Docente:</w:t>
      </w:r>
    </w:p>
    <w:p w:rsidR="00000000" w:rsidDel="00000000" w:rsidP="00000000" w:rsidRDefault="00000000" w:rsidRPr="00000000" w14:paraId="00000014">
      <w:pPr>
        <w:spacing w:after="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sz w:val="26"/>
          <w:szCs w:val="26"/>
          <w:highlight w:val="white"/>
          <w:rtl w:val="0"/>
        </w:rPr>
        <w:tab/>
        <w:br w:type="textWrapping"/>
        <w:tab/>
        <w:t xml:space="preserve">Dr. , Gomez Avila, Jose Alberto</w:t>
      </w:r>
      <w:r w:rsidDel="00000000" w:rsidR="00000000" w:rsidRPr="00000000">
        <w:rPr>
          <w:rtl w:val="0"/>
        </w:rPr>
      </w:r>
    </w:p>
    <w:p w:rsidR="00000000" w:rsidDel="00000000" w:rsidP="00000000" w:rsidRDefault="00000000" w:rsidRPr="00000000" w14:paraId="00000015">
      <w:pPr>
        <w:spacing w:after="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6">
      <w:pPr>
        <w:spacing w:after="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7">
      <w:pPr>
        <w:spacing w:after="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Ciclo: </w:t>
      </w:r>
      <w:r w:rsidDel="00000000" w:rsidR="00000000" w:rsidRPr="00000000">
        <w:rPr>
          <w:rFonts w:ascii="Times New Roman" w:cs="Times New Roman" w:eastAsia="Times New Roman" w:hAnsi="Times New Roman"/>
          <w:sz w:val="26"/>
          <w:szCs w:val="26"/>
          <w:highlight w:val="white"/>
          <w:rtl w:val="0"/>
        </w:rPr>
        <w:t xml:space="preserve">VIII</w:t>
      </w:r>
      <w:r w:rsidDel="00000000" w:rsidR="00000000" w:rsidRPr="00000000">
        <w:rPr>
          <w:rtl w:val="0"/>
        </w:rPr>
      </w:r>
    </w:p>
    <w:p w:rsidR="00000000" w:rsidDel="00000000" w:rsidP="00000000" w:rsidRDefault="00000000" w:rsidRPr="00000000" w14:paraId="00000018">
      <w:pPr>
        <w:spacing w:after="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9">
      <w:pPr>
        <w:spacing w:after="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A">
      <w:pPr>
        <w:spacing w:after="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Año y Semestre: </w:t>
      </w:r>
      <w:r w:rsidDel="00000000" w:rsidR="00000000" w:rsidRPr="00000000">
        <w:rPr>
          <w:rFonts w:ascii="Times New Roman" w:cs="Times New Roman" w:eastAsia="Times New Roman" w:hAnsi="Times New Roman"/>
          <w:sz w:val="26"/>
          <w:szCs w:val="26"/>
          <w:highlight w:val="white"/>
          <w:rtl w:val="0"/>
        </w:rPr>
        <w:t xml:space="preserve">2026-II</w:t>
      </w:r>
    </w:p>
    <w:p w:rsidR="00000000" w:rsidDel="00000000" w:rsidP="00000000" w:rsidRDefault="00000000" w:rsidRPr="00000000" w14:paraId="0000001B">
      <w:pPr>
        <w:spacing w:after="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C">
      <w:pPr>
        <w:spacing w:after="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D">
      <w:pPr>
        <w:spacing w:after="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Trujillo - Perú</w:t>
      </w:r>
    </w:p>
    <w:p w:rsidR="00000000" w:rsidDel="00000000" w:rsidP="00000000" w:rsidRDefault="00000000" w:rsidRPr="00000000" w14:paraId="0000001E">
      <w:pPr>
        <w:spacing w:after="0" w:lineRule="auto"/>
        <w:jc w:val="cente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F">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6"/>
          <w:szCs w:val="26"/>
          <w:highlight w:val="white"/>
          <w:rtl w:val="0"/>
        </w:rPr>
        <w:t xml:space="preserve">2026</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ÍNDICE GENERAL</w:t>
      </w:r>
    </w:p>
    <w:sdt>
      <w:sdtPr>
        <w:id w:val="429119013"/>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 REALIDAD PROBLEMÁTICA</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 ANTECEDENTES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2.1 Antecedentes internacionales</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2.2 Antecedentes nacionales</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2.3 Antecedentes locales (La Libertad)</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 DESCRIPCIÓN DEL PROBLEMA Y PREGUNTA PROBLEMA</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 HIPÓTESIS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 JUSTIFICACIÓN</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6. OBJETIVO GENERAL</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7. POBLACIÓN BENEFICIADA</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8. SOLUCIÓN TECNOLÓGICA ACTUAL</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8.1 Esquema o gráfico explicativo</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8.2 Procesos y procedimientos encontrados</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8.3 Personal responsable (roles)</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8.4 Tecnología actual implicada</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 SOLUCIÓN TECNOLÓGICA PROPUESTA</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9.1 Esquema y gráfico explicativo propuesto</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9.2 Procesos y procedimientos propuestos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9.3 Personal responsable (roles)</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9.4 Tecnología propuesta (HW-SW al detalle)</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9.5 Proveedores propuestos y sus características</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9.6 Presupuesto</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10. CALIFICACIÓN DE INNOVACIÓN</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g7bq17d7nx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Comparativa de Sensores y/o elementos electrónicos utilizados</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12. REFERENCIAS BIBLIOGRÁFICAS (APA 7)</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13. ANEXOS</w:t>
              <w:tab/>
              <w:t xml:space="preserve">21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ANEXO A. FOTOGRAFÍAS EN EL LUGAR DE LA ESCENA</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ANEXO B. ESTADÍSTICAS DEL PROBLEMA</w:t>
              <w:tab/>
              <w:t xml:space="preserve">22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6g7il795b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C. Boletas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ÍNDICE DE TABLAS</w:t>
      </w:r>
    </w:p>
    <w:p w:rsidR="00000000" w:rsidDel="00000000" w:rsidP="00000000" w:rsidRDefault="00000000" w:rsidRPr="00000000" w14:paraId="00000040">
      <w:pPr>
        <w:spacing w:after="3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1. Variables del estudio (VI – VD)</w:t>
      </w:r>
    </w:p>
    <w:p w:rsidR="00000000" w:rsidDel="00000000" w:rsidP="00000000" w:rsidRDefault="00000000" w:rsidRPr="00000000" w14:paraId="00000041">
      <w:pPr>
        <w:spacing w:after="3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2. Población beneficiada</w:t>
      </w:r>
    </w:p>
    <w:p w:rsidR="00000000" w:rsidDel="00000000" w:rsidP="00000000" w:rsidRDefault="00000000" w:rsidRPr="00000000" w14:paraId="00000042">
      <w:pPr>
        <w:spacing w:after="3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3. Identificación de elementos de la situación actual</w:t>
      </w:r>
    </w:p>
    <w:p w:rsidR="00000000" w:rsidDel="00000000" w:rsidP="00000000" w:rsidRDefault="00000000" w:rsidRPr="00000000" w14:paraId="00000043">
      <w:pPr>
        <w:spacing w:after="3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4. Personal responsable en la situación actual</w:t>
      </w:r>
    </w:p>
    <w:p w:rsidR="00000000" w:rsidDel="00000000" w:rsidP="00000000" w:rsidRDefault="00000000" w:rsidRPr="00000000" w14:paraId="00000044">
      <w:pPr>
        <w:spacing w:after="3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5. Identificación de elementos de la solución propuesta</w:t>
      </w:r>
    </w:p>
    <w:p w:rsidR="00000000" w:rsidDel="00000000" w:rsidP="00000000" w:rsidRDefault="00000000" w:rsidRPr="00000000" w14:paraId="00000045">
      <w:pPr>
        <w:spacing w:after="3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6. Conexiones entre componentes y pines del ESP32</w:t>
      </w:r>
    </w:p>
    <w:p w:rsidR="00000000" w:rsidDel="00000000" w:rsidP="00000000" w:rsidRDefault="00000000" w:rsidRPr="00000000" w14:paraId="00000046">
      <w:pPr>
        <w:spacing w:after="3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7. Niveles de alerta del sistema</w:t>
      </w:r>
    </w:p>
    <w:p w:rsidR="00000000" w:rsidDel="00000000" w:rsidP="00000000" w:rsidRDefault="00000000" w:rsidRPr="00000000" w14:paraId="00000047">
      <w:pPr>
        <w:spacing w:after="3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8. Personal responsable en la solución propuesta</w:t>
      </w:r>
    </w:p>
    <w:p w:rsidR="00000000" w:rsidDel="00000000" w:rsidP="00000000" w:rsidRDefault="00000000" w:rsidRPr="00000000" w14:paraId="00000048">
      <w:pPr>
        <w:spacing w:after="3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9. Hardware de la solución propuesta</w:t>
      </w:r>
    </w:p>
    <w:p w:rsidR="00000000" w:rsidDel="00000000" w:rsidP="00000000" w:rsidRDefault="00000000" w:rsidRPr="00000000" w14:paraId="00000049">
      <w:pPr>
        <w:spacing w:after="3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10. Software de la solución propuesta</w:t>
      </w:r>
    </w:p>
    <w:p w:rsidR="00000000" w:rsidDel="00000000" w:rsidP="00000000" w:rsidRDefault="00000000" w:rsidRPr="00000000" w14:paraId="0000004A">
      <w:pPr>
        <w:spacing w:after="3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11. Proveedores propuestos</w:t>
      </w:r>
    </w:p>
    <w:p w:rsidR="00000000" w:rsidDel="00000000" w:rsidP="00000000" w:rsidRDefault="00000000" w:rsidRPr="00000000" w14:paraId="0000004B">
      <w:pPr>
        <w:spacing w:after="3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12. Presupuesto de hardware (compras reales y cotizaciones en soles)</w:t>
      </w:r>
    </w:p>
    <w:p w:rsidR="00000000" w:rsidDel="00000000" w:rsidP="00000000" w:rsidRDefault="00000000" w:rsidRPr="00000000" w14:paraId="0000004C">
      <w:pPr>
        <w:spacing w:after="3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13. Presupuesto de software</w:t>
      </w:r>
    </w:p>
    <w:p w:rsidR="00000000" w:rsidDel="00000000" w:rsidP="00000000" w:rsidRDefault="00000000" w:rsidRPr="00000000" w14:paraId="0000004D">
      <w:pPr>
        <w:spacing w:after="3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14. Presupuesto de recursos humanos (roles de desarrollo)</w:t>
      </w:r>
    </w:p>
    <w:p w:rsidR="00000000" w:rsidDel="00000000" w:rsidP="00000000" w:rsidRDefault="00000000" w:rsidRPr="00000000" w14:paraId="0000004E">
      <w:pPr>
        <w:spacing w:after="3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15. Resumen del presupuesto</w:t>
      </w:r>
    </w:p>
    <w:p w:rsidR="00000000" w:rsidDel="00000000" w:rsidP="00000000" w:rsidRDefault="00000000" w:rsidRPr="00000000" w14:paraId="0000004F">
      <w:pPr>
        <w:spacing w:after="3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16. Calificación de Innovación (mínimo 8 características)</w:t>
      </w:r>
    </w:p>
    <w:p w:rsidR="00000000" w:rsidDel="00000000" w:rsidP="00000000" w:rsidRDefault="00000000" w:rsidRPr="00000000" w14:paraId="00000050">
      <w:pPr>
        <w:spacing w:after="3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17. Comparativa de microcontroladores</w:t>
      </w:r>
    </w:p>
    <w:p w:rsidR="00000000" w:rsidDel="00000000" w:rsidP="00000000" w:rsidRDefault="00000000" w:rsidRPr="00000000" w14:paraId="00000051">
      <w:pPr>
        <w:spacing w:after="3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18. Comparativa de elementos de alerta y protección</w:t>
      </w:r>
    </w:p>
    <w:p w:rsidR="00000000" w:rsidDel="00000000" w:rsidP="00000000" w:rsidRDefault="00000000" w:rsidRPr="00000000" w14:paraId="00000052">
      <w:pPr>
        <w:spacing w:after="3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19. Estadísticas del problema</w:t>
      </w:r>
    </w:p>
    <w:p w:rsidR="00000000" w:rsidDel="00000000" w:rsidP="00000000" w:rsidRDefault="00000000" w:rsidRPr="00000000" w14:paraId="00000053">
      <w:pPr>
        <w:spacing w:after="3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ÍNDICE DE GRÁFICOS</w:t>
      </w:r>
    </w:p>
    <w:p w:rsidR="00000000" w:rsidDel="00000000" w:rsidP="00000000" w:rsidRDefault="00000000" w:rsidRPr="00000000" w14:paraId="00000055">
      <w:pPr>
        <w:spacing w:after="3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1. Esquema de la situación actual del uso de GLP en la cocina rural</w:t>
      </w:r>
    </w:p>
    <w:p w:rsidR="00000000" w:rsidDel="00000000" w:rsidP="00000000" w:rsidRDefault="00000000" w:rsidRPr="00000000" w14:paraId="00000056">
      <w:pPr>
        <w:spacing w:after="3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2. Esquema de la solución tecnológica propuesta</w:t>
      </w:r>
    </w:p>
    <w:p w:rsidR="00000000" w:rsidDel="00000000" w:rsidP="00000000" w:rsidRDefault="00000000" w:rsidRPr="00000000" w14:paraId="00000057">
      <w:pPr>
        <w:spacing w:after="3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3. Esquema de conexiones eléctricas del prototipo</w:t>
      </w:r>
    </w:p>
    <w:p w:rsidR="00000000" w:rsidDel="00000000" w:rsidP="00000000" w:rsidRDefault="00000000" w:rsidRPr="00000000" w14:paraId="00000058">
      <w:pPr>
        <w:spacing w:after="3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4. Diagrama de flujo del proceso propuesto</w:t>
      </w:r>
    </w:p>
    <w:p w:rsidR="00000000" w:rsidDel="00000000" w:rsidP="00000000" w:rsidRDefault="00000000" w:rsidRPr="00000000" w14:paraId="00000059">
      <w:pPr>
        <w:pStyle w:val="Heading1"/>
        <w:rPr/>
      </w:pPr>
      <w:r w:rsidDel="00000000" w:rsidR="00000000" w:rsidRPr="00000000">
        <w:rPr>
          <w:rtl w:val="0"/>
        </w:rPr>
        <w:t xml:space="preserve">1. REALIDAD PROBLEMÁTICA</w:t>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gas licuado de petróleo (GLP) es una de las fuentes de energía más usadas en hogares e industrias, pero sus fugas, cuando pasan inadvertidas, pueden desencadenar incendios (Mashuri et al., 2025).</w:t>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Perú, el uso del gas para cocinar sigue extendiéndose. Según la Encuesta Nacional de Hogares (ENAHO) del tercer trimestre de 2024, el 88,6 % de los hogares cocinaba con gas: 93,9 % en el área urbana y 68,1 % en la rural, donde la proporción subió 4,6 puntos porcentuales respecto al año anterior (Gestión, 2024). El GLP llega así a zonas donde antes predominaba la leña, y con él llegan también sus riesgos. Además, el Instituto Nacional de Estadística e Informática (INEI) ha documentado que en el área rural persiste la quema de combustibles en cocinas sin ventilación adecuada (INEI, 2018).</w:t>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emergencias muestran la dimensión del riesgo. El Cuerpo General de Bomberos del Perú registró 13 486 fugas de gas entre marzo de 2020 y julio de 2021 (La República, 2021); en 2025 atendió 4 249 fugas de gas licuado, con un promedio de 350 a 400 casos por mes (Perú21, 2026), y en los primeros meses de 2026 ya se contaban 1 320 emergencias por fugas de gas a nivel nacional (Diario Correo, 2026). Los bomberos advierten además sobre prácticas de riesgo, como el uso de adaptadores «saca gas», que pueden enviar gas a una presión inadecuada a la manguera y a la cocina (La República, 2021). Las guías de uso seguro recomiendan ubicar el balón en un lugar ventilado y usar mangueras y reguladores adecuados (Gobierno del Perú, s. f.).</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 La Libertad, el 89,7 % de los hogares contaba con cocina a gas en 2024, frente al 82,3 % de 2015 (Cámara de Comercio de Lima, 2025). Además, el portal estadístico del Cuerpo General de Bomberos Voluntarios del Perú registra para la III Comandancia Departamental La Libertad 101 atenciones clasificadas como “fuga de gas licuado”, dentro de 2 010 emergencias mostradas en la tabla consultada (CGBVP, s. f.). Debido a que la vista pública consultada no expone de forma explícita el periodo de corte de esa tabla, la cifra se emplea como referencia del estado del registro y no como un total anual cerrado. Durante la visita de campo realizada el 18 de septiembre de 2026 a la vivienda piloto de la familia Mendes, ubicada en La Rinconada, distrito de El Porvenir, se observó que la cocina dispone de una ventana y dos puertas. </w:t>
      </w: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Aunque existen detectores de gas comerciales, en las estadísticas oficiales revisadas no se identificó información sobre su adopción en hogares rurales. Por ello, este trabajo propone un sistema IoT de bajo costo, basado en un ESP32 y sensores MQ-2 y MQ-5, que vigila continuamente el aire de la cocina, emite datos por el Monitor Serie y activa alertas visuales y sonoras cuando las lecturas superan los niveles definidos para el prototipo.</w:t>
      </w:r>
    </w:p>
    <w:p w:rsidR="00000000" w:rsidDel="00000000" w:rsidP="00000000" w:rsidRDefault="00000000" w:rsidRPr="00000000" w14:paraId="0000005F">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ANTECEDENTES</w:t>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revisaron doce trabajos: cuatro internacionales, cuatro nacionales y cuatro locales. Los antecedentes locales incluyen un estudio directamente relacionado con el uso doméstico de GLP y tres trabajos afines sobre monitoreo de gases, calidad del aire y sistemas embebidos desarrollados en Trujillo y La Libertad.</w:t>
      </w:r>
    </w:p>
    <w:p w:rsidR="00000000" w:rsidDel="00000000" w:rsidP="00000000" w:rsidRDefault="00000000" w:rsidRPr="00000000" w14:paraId="00000061">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 Antecedentes internacionales</w:t>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Mashuri et al. (2025), en Indonesia, diseñaron un sistema con ESP32 y sensor MQ-2 que activa un buzzer y LED al superar 80 ppm y envía notificaciones al celular mediante Blynk. Es el antecedente más cercano a nuestro hardware, pero opera con un umbral fijo, sin predicción ni análisis de anomalías.</w:t>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Coqueco Medina (2023), en Colombia, desarrolló un prototipo de bajo costo con Arduino Uno y sensor MQ-5, con LED y buzzer, pensado para hogares rurales del Huila. Fijó el umbral de alerta en 300 ppm tras observar unos 5 ppm en ambiente normal y entre 800 y 900 ppm cerca del gas. Aporta un referente de contexto rural y de calibración, aunque no incorpora inteligencia artificial.</w:t>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Dashdondov et al. (2023), en Corea del Sur, propusieron NDAMA, un método que usa un autoencoder profundo para preparar los datos y mejorar clasificadores como XGBoost en la detección de fugas de metano; la mejor variante alcanzó 99,51 % de exactitud y 99,53 % de F1 con un conjunto de datos abierto. Respalda la combinación de autoencoder y XGBoost, aunque trabajó con gas natural y datos públicos, no con sensores propios.</w:t>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Tezcan y Kursun (2025), en Turquía, plantearon un modelo híbrido LSTM-autoencoder con Isolation Forest para reducir falsas alarmas en un sistema de alerta de gas con ESP32 y MQ-2. Lo validaron con datos sintéticos con ruido y dejaron la validación con hardware real como trabajo futuro; este proyecto aborda justamente esa brecha con datos reales de sensores de bajo costo.</w:t>
      </w:r>
    </w:p>
    <w:p w:rsidR="00000000" w:rsidDel="00000000" w:rsidP="00000000" w:rsidRDefault="00000000" w:rsidRPr="00000000" w14:paraId="00000066">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 Antecedentes nacionales</w:t>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Bueno Vera et al. (2022), de la Universidad de Lima, provocaron una fuga controlada en una cocina de dos hornillas y usaron un arreglo de sensores MQ-6 en distintos ángulos. Compararon modelos de aprendizaje automático y el mejor fue una máquina de vectores de soporte con un RMSE de 4,61 ppm; la mejor posición del sensor fue a 47 cm del suelo y 50 cm de la fuente. Es el único antecedente peruano con aprendizaje automático y orienta la ubicación de los sensores.</w:t>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Cordova Zevallos y Tuñoque De La Cruz (2025), también de la Universidad de Lima, construyeron un dispositivo con MQ-2 y Arduino Nano que envía una alerta por SMS con la ubicación mediante módulos GSM y GPS, con un umbral preventivo desde 30 ppm. En escenarios a escala, el tiempo de respuesta reportado fue de 18,84 a 45,38 segundos, constituyendo una referencia sobre el comportamiento de sistemas electrónicos destinados a la detección y alerta de fugas.</w:t>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Pérez Palomino (2019), de la Universidad Católica de Santa María (Arequipa), elaboró un sistema de vigilancia y detección de fuga de gas con Raspberry Pi 3 y Arduino UNO, con alertas por mensaje de texto y una aplicación móvil. Es una solución más costosa y compleja que la nuestra, lo que refuerza el argumento de accesibilidad.</w:t>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Flores Pacheco y Wesember Gomez (2024), de la Universidad Nacional de la Amazonía Peruana, implementaron un sistema con Arduino UNO y sensor MQ-6 conectado a una aplicación móvil y a un servidor en la nube, con monitoreo en tiempo real e historial de incidencias, para espacios cerrados de Iquitos. Se acerca a nuestra idea de panel de monitoreo, pero sin modelos predictivos.</w:t>
      </w:r>
    </w:p>
    <w:p w:rsidR="00000000" w:rsidDel="00000000" w:rsidP="00000000" w:rsidRDefault="00000000" w:rsidRPr="00000000" w14:paraId="0000006B">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 Antecedentes locales (La Libertad)</w:t>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Antecedente local 1. Aranda Cosme y Yupanqui Pizan (2019), de la Universidad César Vallejo, desarrollaron en Trujillo la tesis “Diseño e implementación de un sistema de medición del nivel de consumo de gas para un balón de uso doméstico”. El estudio tuvo un diseño experimental y buscó diseñar e implementar un sistema que permitiera conocer el nivel de GLP disponible en un balón doméstico. Para definir los requerimientos se encuestó a 15 consumidores de balones de GLP de la ciudad de Trujillo. El prototipo utilizó una celda de carga de 50 kg, Arduino Uno, pantalla LCD, comunicación Bluetooth y una aplicación móvil; la escala mínima de medición reportada fue de 100 g, equivalente al 1 % de la escala definida por los autores. Este antecedente se relaciona directamente con el presente proyecto porque aborda el uso doméstico de GLP en Trujillo e incorpora electrónica de bajo costo para mejorar su supervisión, aunque se enfoca en el nivel de consumo y no en la detección de fugas.</w:t>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Antecedente local 2. Pajares Galvez y Rumay Gil (2023), de la Universidad Privada del Norte, desarrollaron la tesis “Implementación de un sistema informático para el monitoreo de concentración de gases contaminantes del aire para el distrito de Víctor Larco Herrera, Trujillo 2023”. El objetivo fue determinar la influencia de un sistema informático en la medición de gases contaminantes del aire. La investigación fue cuasi-experimental, trabajó con cuatro puntos de monitoreo, utilizó listas de cotejo y observación, y aplicó la prueba t de Student. El sistema integró hardware y software mediante comunicaciones GSM/GPRS para medir y registrar concentraciones en tiempo real. Los autores reportaron 91,75 % en funcionalidad, 88,25 % en usabilidad, 72,2 % en disponibilidad y 92,5 % de eficiencia. Su aporte al proyecto radica en demostrar, dentro de la provincia de Trujillo, la viabilidad de integrar sensores de gases, procesamiento electrónico, comunicaciones y registro continuo.</w:t>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Antecedente local 3. Flores Quispe y Tafur Mendez (2025), de la Universidad Privada Antenor Orrego, desarrollaron la tesis “Sistema de monitoreo con conexión a la nube para la medición de la calidad del aire en la Urbanización de Primavera del distrito de Trujillo - 2024”. El objetivo fue determinar niveles del índice de calidad del aire, compuestos orgánicos volátiles, temperatura y humedad en la urbanización Primavera. El trabajo desarrolló e implementó prototipos de sensores para interiores y exteriores, explicó la captura, transmisión y almacenamiento de datos en la nube y mostró su monitoreo en un dashboard, comparando además las mediciones con fuentes como WAQI y SENAMHI. Los autores concluyeron que el sistema era factible para monitorear la calidad del aire. Este antecedente es afín porque demuestra en Trujillo la aplicación de sensores, sistemas embebidos, transmisión y visualización continua de variables del aire, principios tecnológicos aplicables al prototipo de detección de GLP.</w:t>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Antecedente local 4. Hernández Carmona y Méndez Cueva (2020), de la Universidad César Vallejo, desarrollaron la tesis “Programación de un medidor de calidad de aire usando el principio de dispersión láser para el monitoreo de la concentración de material particulado PM10 y PM2.5”. El prototipo empleó un sensor Nova SDS011, un DHT22 y una placa NodeMCU, además de librerías de comunicación para registrar variables ambientales. Durante diez días se compararon las mediciones con un equipo Hi-Vol mediante correlación de Pearson, obteniéndose coeficientes R = 0,897 y R = 0,964. Las autoras concluyeron que era factible utilizar un equipo experimental diseñado por estudiantes. El antecedente es afín porque respalda el uso de sensores de bajo costo, microcontroladores y adquisición digital de datos para monitoreo ambiental, así como la necesidad de contrastar un prototipo con referencias de medición.</w:t>
      </w:r>
    </w:p>
    <w:p w:rsidR="00000000" w:rsidDel="00000000" w:rsidP="00000000" w:rsidRDefault="00000000" w:rsidRPr="00000000" w14:paraId="00000070">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DESCRIPCIÓN DEL PROBLEMA Y PREGUNTA PROBLEMA</w:t>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las zonas rurales de La Libertad, el uso de balones de GLP en cocinas cerradas y con poca ventilación expone a las familias a fugas que pueden causar intoxicaciones, incendios o explosiones. Aunque existen detectores comerciales, su adopción en estos hogares no está documentada y una fuga suele advertirse cuando el olor ya es perceptible. Por ello, se requiere una solución de bajo costo que realice vigilancia continua, emita datos y active una alerta temprana sin depender exclusivamente de la percepción humana.</w:t>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Pregunta problema: ¿En qué medida un sistema IoT basado en ESP32 y sensores MQ-2 y MQ-5 (VI) permite mejorar la detección temprana de fugas de gas GLP (VD), mediante la identificación de incrementos anormales en las lecturas de los sensores y la generación de alertas visuales y sonoras, en cocinas rurales de La Libertad?</w:t>
      </w:r>
      <w:r w:rsidDel="00000000" w:rsidR="00000000" w:rsidRPr="00000000">
        <w:rPr>
          <w:rtl w:val="0"/>
        </w:rPr>
      </w:r>
    </w:p>
    <w:p w:rsidR="00000000" w:rsidDel="00000000" w:rsidP="00000000" w:rsidRDefault="00000000" w:rsidRPr="00000000" w14:paraId="0000007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Tabla 1. Variables del estudio (VI – VD)</w:t>
      </w:r>
      <w:r w:rsidDel="00000000" w:rsidR="00000000" w:rsidRPr="00000000">
        <w:rPr>
          <w:rtl w:val="0"/>
        </w:rPr>
      </w:r>
    </w:p>
    <w:tbl>
      <w:tblPr>
        <w:tblStyle w:val="Table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tcMar>
              <w:top w:w="80.0" w:type="dxa"/>
              <w:bottom w:w="80.0" w:type="dxa"/>
            </w:tcMar>
            <w:vAlign w:val="center"/>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 Sistema IoT</w:t>
            </w:r>
          </w:p>
        </w:tc>
        <w:tc>
          <w:tcPr>
            <w:tcMar>
              <w:top w:w="80.0" w:type="dxa"/>
              <w:bottom w:w="80.0" w:type="dxa"/>
            </w:tcMar>
            <w:vAlign w:val="center"/>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basado en ESP32, sensores MQ-2 y MQ-5, divisores de voltaje, LED verde, LED rojo, buzzer activo y emisión de datos mediante Monitor Serie. Indicadores: componentes instalados; frecuencia de muestreo; umbrales de alerta; funcionamiento de salidas visuales y sonoras.</w:t>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VD, Detección temprana de fugas de GLP</w:t>
            </w:r>
          </w:p>
        </w:tc>
        <w:tc>
          <w:tcPr>
            <w:shd w:fill="f7f9fc" w:val="clear"/>
            <w:tcMar>
              <w:top w:w="80.0" w:type="dxa"/>
              <w:bottom w:w="80.0" w:type="dxa"/>
            </w:tcMar>
            <w:vAlign w:val="center"/>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Capacidad del prototipo para identificar un incremento anormal en las lecturas de gas y generar una alerta sin depender exclusivamente del olfato del usuario.</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Indicadores: identificación de variaciones respecto de la línea base; activación del LED verde, LED rojo y buzzer según el estado; emisión de lecturas mediante el Monitor Serie.</w:t>
            </w:r>
          </w:p>
        </w:tc>
      </w:tr>
    </w:tbl>
    <w:p w:rsidR="00000000" w:rsidDel="00000000" w:rsidP="00000000" w:rsidRDefault="00000000" w:rsidRPr="00000000" w14:paraId="00000079">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Nota. Las lecturas del sensor se expresan en cuentas del conversor analógico-digital (ADC) del ESP32, de 0 a 4095. La conversión a ppm exige calibración con gas de referencia y queda como mejora futura.</w:t>
      </w:r>
      <w:r w:rsidDel="00000000" w:rsidR="00000000" w:rsidRPr="00000000">
        <w:rPr>
          <w:rtl w:val="0"/>
        </w:rPr>
      </w:r>
    </w:p>
    <w:p w:rsidR="00000000" w:rsidDel="00000000" w:rsidP="00000000" w:rsidRDefault="00000000" w:rsidRPr="00000000" w14:paraId="0000007B">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HIPÓTESIS</w:t>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Hipótesis general. La implementación de un sistema IoT basado en ESP32 y sensores MQ-2 y MQ-5 permitirá detectar de manera temprana incrementos asociados a posibles fugas de gas GLP y generar alertas visuales y sonoras en cocinas rurales de La Libertad.</w:t>
      </w:r>
      <w:r w:rsidDel="00000000" w:rsidR="00000000" w:rsidRPr="00000000">
        <w:rPr>
          <w:rtl w:val="0"/>
        </w:rPr>
      </w:r>
    </w:p>
    <w:p w:rsidR="00000000" w:rsidDel="00000000" w:rsidP="00000000" w:rsidRDefault="00000000" w:rsidRPr="00000000" w14:paraId="0000007D">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JUSTIFICACIÓN</w:t>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Teórica. Los antecedentes muestran que los sistemas de bajo costo basados en sensores MQ y microcontroladores permiten detectar gases combustibles y generar alertas locales (Mashuri et al., 2025; Coqueco Medina, 2023; Cordova Zevallos y Tuñoque De La Cruz, 2025). Asimismo, Bueno Vera et al. (2022) aporta criterios sobre la ubicación de sensores para detección de GLP. Estos trabajos respaldan el uso de ESP32, MQ-2 y MQ-5 como base tecnológica del prototipo. La incorporación futura de técnicas de analítica e inteligencia artificial se considera únicamente como proyección tecnológica y no como resultado de esta unidad.</w:t>
      </w: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Práctica. La alerta local con LED y buzzer no depende de internet ni de un celular, y permite actuar (cerrar la válvula del balón, ventilar, evitar chispas y evacuar) antes de que el gas alcance una fuente de ignición. Actualmente la detección se apoya en el olfato; las autoridades recomiendan incluso aprender a reconocer el olor del gas (Agencia Andina, 2020). El sensor complementa esa práctica con una vigilancia continua.</w:t>
      </w: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Ambiental. Una alerta temprana reduce la probabilidad de incendios y explosiones domésticas y limita el tiempo de exposición a gases combustibles en el aire interior, pues permite ventilar el ambiente a tiempo. Además, el sistema opera con un consumo bajo, alimentado por USB.</w:t>
      </w: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Económica. La implementación se plantea con componentes electrónicos de bajo costo y software gratuito. La primera adquisición documentada del equipo, realizada en Naylamp Mechatronics S.A.C. el 21 de septiembre de 2026, ascendió a S/ 60,20 e incluyó el ESP32 DevKit V1, un sensor MQ-2, buzzer activo, LED rojo, LED verde, resistencias de 220 Ω y 10 kΩ, y cable USB-A a USB-C. Al sumar las cotizaciones verificadas del MQ-5, resistencias de 20 kΩ, protoboard y cables Dupont, el subtotal documentado/cotizado del hardware comprado/cotizado asciende a S/103,60, incluyendo el cargador USB considerado en el presupuesto. Como referencia comercial en el Perú, PROMELSA ofrece el detector EXTECH EZ40 para gases combustibles, incluido GLP, a S/ 596,47. El equipo comercial posee características y certificaciones distintas, por lo que la comparación se utiliza únicamente como referencia de mercado y no como equivalencia técnica directa. El software requerido en la Unidad I (Arduino IDE, controlador USB y Monitor Serie) es gratuito.</w:t>
      </w:r>
    </w:p>
    <w:p w:rsidR="00000000" w:rsidDel="00000000" w:rsidP="00000000" w:rsidRDefault="00000000" w:rsidRPr="00000000" w14:paraId="00000082">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OBJETIVO GENERAL</w:t>
      </w:r>
    </w:p>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e implementar un prototipo de sistema IoT basado en ESP32 y sensores MQ-2 y MQ-5 que monitoree variaciones asociadas a posibles fugas de gas GLP, emita las lecturas obtenidas mediante el Monitor Serie y active alertas visuales y sonoras para contribuir a la detección temprana en cocinas rurales de La Libertad.</w:t>
      </w:r>
    </w:p>
    <w:p w:rsidR="00000000" w:rsidDel="00000000" w:rsidP="00000000" w:rsidRDefault="00000000" w:rsidRPr="00000000" w14:paraId="00000084">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 POBLACIÓN BENEFICIADA</w:t>
      </w:r>
    </w:p>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se orienta a las familias rurales de La Libertad que cocinan con balones de GLP. La solución se probará primero en una cocina piloto y se proyecta a un grupo mayor.</w:t>
      </w:r>
    </w:p>
    <w:p w:rsidR="00000000" w:rsidDel="00000000" w:rsidP="00000000" w:rsidRDefault="00000000" w:rsidRPr="00000000" w14:paraId="0000008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Tabla 2. Población beneficiada</w:t>
      </w:r>
      <w:r w:rsidDel="00000000" w:rsidR="00000000" w:rsidRPr="00000000">
        <w:rPr>
          <w:rtl w:val="0"/>
        </w:rPr>
      </w:r>
    </w:p>
    <w:tbl>
      <w:tblPr>
        <w:tblStyle w:val="Table2"/>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tcMar>
              <w:top w:w="80.0" w:type="dxa"/>
              <w:bottom w:w="80.0" w:type="dxa"/>
            </w:tcMar>
            <w:vAlign w:val="center"/>
          </w:tcPr>
          <w:p w:rsidR="00000000" w:rsidDel="00000000" w:rsidP="00000000" w:rsidRDefault="00000000" w:rsidRPr="00000000" w14:paraId="0000008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Beneficiaria directa (piloto)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8">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Familia Mendes, residente en La Rinconada, distrito de El Porvenir, provincia de Trujillo, La Libertad. La vivienda constituye el escenario piloto donde se instalará y demostrará el prototipo. Cantidad: 1 familia / 1 cocina.</w:t>
            </w:r>
            <w:r w:rsidDel="00000000" w:rsidR="00000000" w:rsidRPr="00000000">
              <w:rPr>
                <w:rtl w:val="0"/>
              </w:rPr>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08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Beneficiarias directas (proyección)</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08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familias rurales de La Libertad que usan GLP para cocinar. Es una población proyectada, no un despliegue realizado. Cantidad: 50 familias (proyección).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Beneficiarios indirectos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vecinos y comunidad cercana, y los servicios de emergencia, que reciben menos avisos tardíos de fugas. Cantidad: no cuantificado.</w:t>
            </w:r>
            <w:r w:rsidDel="00000000" w:rsidR="00000000" w:rsidRPr="00000000">
              <w:rPr>
                <w:rtl w:val="0"/>
              </w:rPr>
            </w:r>
          </w:p>
        </w:tc>
      </w:tr>
    </w:tbl>
    <w:p w:rsidR="00000000" w:rsidDel="00000000" w:rsidP="00000000" w:rsidRDefault="00000000" w:rsidRPr="00000000" w14:paraId="0000008D">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 SOLUCIÓN TECNOLÓGICA ACTUAL</w:t>
      </w:r>
    </w:p>
    <w:p w:rsidR="00000000" w:rsidDel="00000000" w:rsidP="00000000" w:rsidRDefault="00000000" w:rsidRPr="00000000" w14:paraId="0000008F">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8.1 Esquema o gráfico explicativo</w:t>
      </w:r>
    </w:p>
    <w:p w:rsidR="00000000" w:rsidDel="00000000" w:rsidP="00000000" w:rsidRDefault="00000000" w:rsidRPr="00000000" w14:paraId="00000090">
      <w:pPr>
        <w:jc w:val="center"/>
        <w:rPr/>
      </w:pPr>
      <w:r w:rsidDel="00000000" w:rsidR="00000000" w:rsidRPr="00000000">
        <w:rPr/>
        <w:drawing>
          <wp:inline distB="114300" distT="114300" distL="114300" distR="114300">
            <wp:extent cx="5695950" cy="3076575"/>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69595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Figura 1. Esquema de la situación actual del uso de GLP en la cocina rural</w:t>
      </w: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Tabla 3. Identificación de elementos de la situación actual</w:t>
      </w:r>
    </w:p>
    <w:p w:rsidR="00000000" w:rsidDel="00000000" w:rsidP="00000000" w:rsidRDefault="00000000" w:rsidRPr="00000000" w14:paraId="00000093">
      <w:pPr>
        <w:rPr>
          <w:rFonts w:ascii="Times New Roman" w:cs="Times New Roman" w:eastAsia="Times New Roman" w:hAnsi="Times New Roman"/>
          <w:b w:val="1"/>
          <w:bCs w:val="1"/>
        </w:rPr>
      </w:pPr>
      <w:r w:rsidDel="00000000" w:rsidR="00000000" w:rsidRPr="00000000">
        <w:rPr>
          <w:rtl w:val="0"/>
        </w:rPr>
      </w:r>
    </w:p>
    <w:sdt>
      <w:sdtPr>
        <w:lock w:val="contentLocked"/>
        <w:id w:val="-1801911469"/>
        <w:tag w:val="goog_rdk_0"/>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Balón de GLP (10 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Detección por olfato o prueba con agua jabonosa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Regulador, válvula y manguera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Distribuidor de GLP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Cocina (hornillas)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Cuerpo de Bomberos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Posible fuga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Osinergmin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Usuario (jefe/a de hogar)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Ausencia de detección automática</w:t>
                </w:r>
              </w:p>
            </w:tc>
          </w:tr>
        </w:tbl>
      </w:sdtContent>
    </w:sdt>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8.2 Procesos y procedimientos encontrados</w:t>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Adquisición del balón. Las campañas de Indecopi y Osinergmin recomiendan comprar a distribuidores formales, exigir comprobante de pago y revisar que el balón no tenga abolladuras, corrosión ni la válvula pintada o con fugas (Agencia Andina, s. f.).</w:t>
      </w:r>
    </w:p>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Instalación. Se aconseja que el distribuidor instale el balón y entregue una cartilla de seguridad, use una manguera especial para GLP con fecha de vencimiento y ubique el balón en un lugar ventilado, sin acercarlo demasiado a la cocina (Gobierno del Perú, s. f.). Se recomienda cambiar el regulador de palanca roja por uno de perilla, que es más seguro (Agencia Andina, s. f.).</w:t>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diario. Para encender la hornilla, primero se enciende el fuego y luego se abre la llave de la cocina (Gobierno del Perú, s. f.). Los niños no deben manipular el balón ni la cocina.</w:t>
      </w:r>
    </w:p>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Verificación de fugas. La familia Mendes identifica principalmente las posibles fugas mediante el olor característico del GLP. De manera ocasional, cuando sospecha de una conexión floja, utiliza agua jabonosa para comprobar la presencia de una fuga. Esta práctica fue reportada durante la visita de campo del 18 de septiembre de 2026.</w:t>
      </w: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Respuesta ante una fuga. Ante olor a gas, los bomberos indican evacuar, no accionar aparatos eléctricos ni generar chispas (ni siquiera usar el teléfono) y llamar de inmediato a los Bomberos, línea 116 (Agencia Andina, 2020). También se aconseja saber cerrar la válvula del balón.</w:t>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Supervisión. Osinergmin supervisa el servicio y sanciona a las empresas distribuidoras que incumplen las normas de seguridad, y forma parte del sistema de protección al consumidor que preside Indecopi (Agencia Andina, s. f.). Esta supervisión alcanza a los distribuidores y no al interior del hogar.</w:t>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Limitaciones encontradas. Durante la visita de campo del 18 de septiembre de 2026 se observó que el balón de GLP se encuentra a pocos centímetros de la cocina. La manguera presenta la fecha de vencimiento expirada, por lo que requiere cambio urgente, mientras que el regulador de perilla se encuentra en buen estado operativo. La vivienda cuenta con una ventana y dos puertas; sin embargo, no se cuantificó el flujo efectivo de ventilación. El proceso de detección sigue dependiendo principalmente de que una persona perciba el olor del gas, ya que actualmente no existe una alerta electrónica automática.</w:t>
      </w:r>
      <w:r w:rsidDel="00000000" w:rsidR="00000000" w:rsidRPr="00000000">
        <w:rPr>
          <w:rtl w:val="0"/>
        </w:rPr>
      </w:r>
    </w:p>
    <w:p w:rsidR="00000000" w:rsidDel="00000000" w:rsidP="00000000" w:rsidRDefault="00000000" w:rsidRPr="00000000" w14:paraId="000000A7">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8.3 Personal responsable (roles)</w:t>
      </w:r>
    </w:p>
    <w:p w:rsidR="00000000" w:rsidDel="00000000" w:rsidP="00000000" w:rsidRDefault="00000000" w:rsidRPr="00000000" w14:paraId="000000A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Tabla 4. Personal responsable en la situación actual</w:t>
      </w:r>
      <w:r w:rsidDel="00000000" w:rsidR="00000000" w:rsidRPr="00000000">
        <w:rPr>
          <w:rtl w:val="0"/>
        </w:rPr>
      </w:r>
    </w:p>
    <w:tbl>
      <w:tblPr>
        <w:tblStyle w:val="Table4"/>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tcMar>
              <w:top w:w="80.0" w:type="dxa"/>
              <w:bottom w:w="80.0" w:type="dxa"/>
            </w:tcMar>
            <w:vAlign w:val="center"/>
          </w:tcPr>
          <w:p w:rsidR="00000000" w:rsidDel="00000000" w:rsidP="00000000" w:rsidRDefault="00000000" w:rsidRPr="00000000" w14:paraId="000000A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Jefe/a de hogar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A">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usa la cocina y decide cerrar la válvula, ventilar o solicitar ayuda ante una posible fuga. El cambio del balón lo realiza habitualmente el padre de familia o el repartidor de gas cuando está disponible. Fuente: visita de campo del 18/09/2026.</w:t>
            </w:r>
            <w:r w:rsidDel="00000000" w:rsidR="00000000" w:rsidRPr="00000000">
              <w:rPr>
                <w:rtl w:val="0"/>
              </w:rPr>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0A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Distribuidor de GLP</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0A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vende y entrega balones; debe instalarlos y entregar la cartilla de seguridad. Referencia: Gobierno del Perú (s. f.).</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Osinergmin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supervisa el servicio de GLP y sanciona a distribuidores que incumplen las normas. Referencia: Agencia Andina (s. f.).</w:t>
            </w:r>
            <w:r w:rsidDel="00000000" w:rsidR="00000000" w:rsidRPr="00000000">
              <w:rPr>
                <w:rtl w:val="0"/>
              </w:rPr>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0A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Indecopi</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0B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protege los derechos del consumidor ante productos que incumplen la seguridad. Referencia: Agencia Andina (s. f.).</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Cuerpo de Bomberos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atiende las emergencias por fugas de gas. Referencia: Agencia Andina (2020).</w:t>
            </w:r>
            <w:r w:rsidDel="00000000" w:rsidR="00000000" w:rsidRPr="00000000">
              <w:rPr>
                <w:rtl w:val="0"/>
              </w:rPr>
            </w:r>
          </w:p>
        </w:tc>
      </w:tr>
    </w:tbl>
    <w:p w:rsidR="00000000" w:rsidDel="00000000" w:rsidP="00000000" w:rsidRDefault="00000000" w:rsidRPr="00000000" w14:paraId="000000B3">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8.4 Tecnología actual implicada</w:t>
      </w:r>
    </w:p>
    <w:p w:rsidR="00000000" w:rsidDel="00000000" w:rsidP="00000000" w:rsidRDefault="00000000" w:rsidRPr="00000000" w14:paraId="000000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 tecnología implicada en la vivienda se compone de balón de GLP, regulador de perilla, válvula, manguera y cocina, además del medio de encendido de la hornilla. Durante la visita del 18 de septiembre de 2026 se confirmó que la familia Mendes no dispone de un detector electrónico de fugas de gas. Como referencia de tecnología comercial disponible en el Perú, PROMELSA ofrece el detector EXTECH EZ40 a S/ 596,47; el equipo declara detección de GNV/GLP, metano, etano, propano y butano en un rango de 500 a 6500 ppm, con indicador LED y alarma sonora. Este producto se considera únicamente como referencia comercial de costo y prestaciones.</w:t>
      </w:r>
      <w:r w:rsidDel="00000000" w:rsidR="00000000" w:rsidRPr="00000000">
        <w:rPr>
          <w:rtl w:val="0"/>
        </w:rPr>
      </w:r>
    </w:p>
    <w:p w:rsidR="00000000" w:rsidDel="00000000" w:rsidP="00000000" w:rsidRDefault="00000000" w:rsidRPr="00000000" w14:paraId="000000B6">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 SOLUCIÓN TECNOLÓGICA PROPUESTA</w:t>
      </w:r>
    </w:p>
    <w:p w:rsidR="00000000" w:rsidDel="00000000" w:rsidP="00000000" w:rsidRDefault="00000000" w:rsidRPr="00000000" w14:paraId="000000B7">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9.1 Esquema y gráfico explicativo propuesto</w:t>
      </w:r>
    </w:p>
    <w:p w:rsidR="00000000" w:rsidDel="00000000" w:rsidP="00000000" w:rsidRDefault="00000000" w:rsidRPr="00000000" w14:paraId="000000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solución tecnológica propuesta para esta unidad consiste en un prototipo de hardware funcional que mide de manera continua las señales de los sensores MQ-2 y MQ-5, procesa las lecturas mediante un ESP32, emite los datos por el Monitor Serie y activa alertas locales mediante LED y buzzer. El diseño utiliza divisores de voltaje para proteger las entradas analógicas del ESP32.</w:t>
      </w:r>
    </w:p>
    <w:p w:rsidR="00000000" w:rsidDel="00000000" w:rsidP="00000000" w:rsidRDefault="00000000" w:rsidRPr="00000000" w14:paraId="000000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00700" cy="30480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6007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Figura 2. Esquema de la solución tecnológica propuesta</w:t>
      </w: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Tabla 5. Identificación de elementos de la solución propuesta</w:t>
      </w:r>
    </w:p>
    <w:p w:rsidR="00000000" w:rsidDel="00000000" w:rsidP="00000000" w:rsidRDefault="00000000" w:rsidRPr="00000000" w14:paraId="000000BD">
      <w:pPr>
        <w:rPr>
          <w:rFonts w:ascii="Times New Roman" w:cs="Times New Roman" w:eastAsia="Times New Roman" w:hAnsi="Times New Roman"/>
          <w:b w:val="1"/>
          <w:bCs w:val="1"/>
        </w:rPr>
      </w:pPr>
      <w:r w:rsidDel="00000000" w:rsidR="00000000" w:rsidRPr="00000000">
        <w:rPr>
          <w:rtl w:val="0"/>
        </w:rPr>
      </w:r>
    </w:p>
    <w:sdt>
      <w:sdtPr>
        <w:lock w:val="contentLocked"/>
        <w:id w:val="1699109971"/>
        <w:tag w:val="goog_rdk_1"/>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Sensor MQ-5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LED rojo (alerta)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Sensor MQ-2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Buzzer activo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Divisor de voltaje 10 kΩ / 20 kΩ</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Monitor Serie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ESP32-WROOM-32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Alimentación USB de 5 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LED verde (estado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tc>
          </w:tr>
        </w:tbl>
      </w:sdtContent>
    </w:sdt>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86425" cy="241935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86425"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Figura 3. Esquema de conexiones eléctricas de la Unidad I</w:t>
      </w: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módulos MQ funcionan con 5 V, pero su salida analógica (AO) puede llegar a ese voltaje, mientras que las entradas del ADC del ESP32 admiten como máximo 3,3 V. Por eso cada salida AO pasa por un divisor de voltaje: la salida AO va a una resistencia de 10 kΩ; el punto de unión va al pin del ESP32 y, desde ese mismo punto, una resistencia de 20 kΩ baja a GND. Así la señal se reduce a unos 3,3 V.</w:t>
      </w:r>
    </w:p>
    <w:p w:rsidR="00000000" w:rsidDel="00000000" w:rsidP="00000000" w:rsidRDefault="00000000" w:rsidRPr="00000000" w14:paraId="000000C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Tabla 6. Conexiones entre componentes y pines del ESP32</w:t>
      </w:r>
      <w:r w:rsidDel="00000000" w:rsidR="00000000" w:rsidRPr="00000000">
        <w:rPr>
          <w:rtl w:val="0"/>
        </w:rPr>
      </w:r>
    </w:p>
    <w:tbl>
      <w:tblPr>
        <w:tblStyle w:val="Table6"/>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tcMar>
              <w:top w:w="80.0" w:type="dxa"/>
              <w:bottom w:w="80.0" w:type="dxa"/>
            </w:tcMar>
            <w:vAlign w:val="center"/>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 MQ-2, AO (vía divisor)</w:t>
            </w:r>
          </w:p>
        </w:tc>
        <w:tc>
          <w:tcPr>
            <w:tcMar>
              <w:top w:w="80.0" w:type="dxa"/>
              <w:bottom w:w="80.0" w:type="dxa"/>
            </w:tcMar>
            <w:vAlign w:val="center"/>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GPIO34. Entrada ADC1, solo lectura.</w:t>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 MQ-5, AO (vía divisor)</w:t>
            </w:r>
          </w:p>
        </w:tc>
        <w:tc>
          <w:tcPr>
            <w:shd w:fill="f7f9fc" w:val="clear"/>
            <w:tcMar>
              <w:top w:w="80.0" w:type="dxa"/>
              <w:bottom w:w="80.0" w:type="dxa"/>
            </w:tcMar>
            <w:vAlign w:val="center"/>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GPIO35. Entrada ADC1, solo lectura.</w:t>
            </w:r>
          </w:p>
        </w:tc>
      </w:tr>
      <w:tr>
        <w:trPr>
          <w:cantSplit w:val="0"/>
          <w:tblHeader w:val="0"/>
        </w:trPr>
        <w:tc>
          <w:tcPr>
            <w:tcMar>
              <w:top w:w="80.0" w:type="dxa"/>
              <w:bottom w:w="80.0" w:type="dxa"/>
            </w:tcMar>
            <w:vAlign w:val="center"/>
          </w:tcPr>
          <w:p w:rsidR="00000000" w:rsidDel="00000000" w:rsidP="00000000" w:rsidRDefault="00000000" w:rsidRPr="00000000" w14:paraId="000000D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MQ-2 y MQ-5, VCC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VIN (5 V). El calentador del sensor requiere 5 V.</w:t>
            </w:r>
            <w:r w:rsidDel="00000000" w:rsidR="00000000" w:rsidRPr="00000000">
              <w:rPr>
                <w:rtl w:val="0"/>
              </w:rPr>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0D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MQ-2 y MQ-5, GND</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0D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GND. Tierra común.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LED verde, ánodo (con 220 Ω)</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GPIO25. Indica estado normal.</w:t>
            </w:r>
            <w:r w:rsidDel="00000000" w:rsidR="00000000" w:rsidRPr="00000000">
              <w:rPr>
                <w:rtl w:val="0"/>
              </w:rPr>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0D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LED rojo, ánodo (con 220 Ω)</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0D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GPIO23. Indica precaución o alerta.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Buzzer activo, positivo (+)</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GPIO19. Alerta sonora.</w:t>
            </w:r>
            <w:r w:rsidDel="00000000" w:rsidR="00000000" w:rsidRPr="00000000">
              <w:rPr>
                <w:rtl w:val="0"/>
              </w:rPr>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0D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LED y buzzer, cátodo o negativo (–)</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0D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GND. Tierra común.</w:t>
            </w:r>
            <w:r w:rsidDel="00000000" w:rsidR="00000000" w:rsidRPr="00000000">
              <w:rPr>
                <w:rtl w:val="0"/>
              </w:rPr>
            </w:r>
          </w:p>
        </w:tc>
      </w:tr>
    </w:tbl>
    <w:p w:rsidR="00000000" w:rsidDel="00000000" w:rsidP="00000000" w:rsidRDefault="00000000" w:rsidRPr="00000000" w14:paraId="000000DE">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9.2 Procesos y procedimientos propuestos</w:t>
      </w:r>
    </w:p>
    <w:p w:rsidR="00000000" w:rsidDel="00000000" w:rsidP="00000000" w:rsidRDefault="00000000" w:rsidRPr="00000000" w14:paraId="000000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proceso del prototipo sigue estos pasos (Figura 4):</w:t>
      </w:r>
    </w:p>
    <w:p w:rsidR="00000000" w:rsidDel="00000000" w:rsidP="00000000" w:rsidRDefault="00000000" w:rsidRPr="00000000" w14:paraId="000000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Instalación. La ubicación del sensor se establece de manera referencial tomando como base la literatura revisada; Bueno Vera et al. (2022) reportaron una posición favorable a 47 cm del suelo y 50 cm de la fuente. Para el prototipo se considera una instalación a baja altura, evitando llama directa, vapor intenso y salpicaduras.</w:t>
      </w:r>
    </w:p>
    <w:p w:rsidR="00000000" w:rsidDel="00000000" w:rsidP="00000000" w:rsidRDefault="00000000" w:rsidRPr="00000000" w14:paraId="000000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Precalentamiento. Al encender el sistema, los sensores MQ se calientan durante 20 a 30 minutos como mínimo para estabilizar sus lecturas.</w:t>
      </w:r>
    </w:p>
    <w:p w:rsidR="00000000" w:rsidDel="00000000" w:rsidP="00000000" w:rsidRDefault="00000000" w:rsidRPr="00000000" w14:paraId="000000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Calibración de línea base. En aire limpio, el ESP32 promedia las lecturas de MQ-2 y MQ-5 durante un minuto. Ese valor es la referencia de la cocina.</w:t>
      </w:r>
    </w:p>
    <w:p w:rsidR="00000000" w:rsidDel="00000000" w:rsidP="00000000" w:rsidRDefault="00000000" w:rsidRPr="00000000" w14:paraId="000000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Lectura continua. Cada segundo mide ambos sensores, promediando 16 muestras para reducir el ruido.</w:t>
      </w:r>
    </w:p>
    <w:p w:rsidR="00000000" w:rsidDel="00000000" w:rsidP="00000000" w:rsidRDefault="00000000" w:rsidRPr="00000000" w14:paraId="000000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Evaluación de niveles. Compara el aumento sobre la línea base con los umbrales de precaución y alerta (Tabla 7), con una pequeña histéresis para evitar cambios de estado por fluctuaciones.</w:t>
      </w:r>
    </w:p>
    <w:p w:rsidR="00000000" w:rsidDel="00000000" w:rsidP="00000000" w:rsidRDefault="00000000" w:rsidRPr="00000000" w14:paraId="000000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Acción local. Activa el LED verde, el LED rojo parpadeante o el LED rojo fijo con buzzer, según el nivel.</w:t>
      </w:r>
    </w:p>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Emisión de datos. Envía por el puerto serie las lecturas de MQ-2 y MQ-5, las diferencias respecto de la línea base y el estado del sistema, de modo que puedan visualizarse en el Monitor Serie durante la demostración.</w:t>
      </w:r>
    </w:p>
    <w:p w:rsidR="00000000" w:rsidDel="00000000" w:rsidP="00000000" w:rsidRDefault="00000000" w:rsidRPr="00000000" w14:paraId="000000E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5695950" cy="4029075"/>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695950" cy="4029075"/>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Figura 4. Diagrama de flujo del proceso propuesto del ESP32</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firstLine="0"/>
        <w:jc w:val="left"/>
        <w:rPr>
          <w:rFonts w:ascii="Times New Roman" w:cs="Times New Roman" w:eastAsia="Times New Roman" w:hAnsi="Times New Roman"/>
          <w:i w:val="0"/>
          <w:iCs w:val="0"/>
          <w:smallCaps w:val="0"/>
          <w:strike w:val="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rPr>
      </w:pPr>
      <w:sdt>
        <w:sdtPr>
          <w:id w:val="-1055066293"/>
          <w:tag w:val="goog_rdk_2"/>
        </w:sdtPr>
        <w:sdtContent>
          <w:r w:rsidDel="00000000" w:rsidR="00000000" w:rsidRPr="00000000">
            <w:rPr>
              <w:rFonts w:ascii="Cardo" w:cs="Cardo" w:eastAsia="Cardo" w:hAnsi="Cardo"/>
              <w:rtl w:val="0"/>
            </w:rPr>
            <w:t xml:space="preserve">Emisión por Monitor Serie y espera de 1 s → vuelve a la lectura.</w:t>
          </w:r>
        </w:sdtContent>
      </w:sdt>
    </w:p>
    <w:p w:rsidR="00000000" w:rsidDel="00000000" w:rsidP="00000000" w:rsidRDefault="00000000" w:rsidRPr="00000000" w14:paraId="000000E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Tabla 7. Niveles de alerta del sistema</w:t>
      </w:r>
      <w:r w:rsidDel="00000000" w:rsidR="00000000" w:rsidRPr="00000000">
        <w:rPr>
          <w:rtl w:val="0"/>
        </w:rPr>
      </w:r>
    </w:p>
    <w:tbl>
      <w:tblPr>
        <w:tblStyle w:val="Table7"/>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tcMar>
              <w:top w:w="80.0" w:type="dxa"/>
              <w:bottom w:w="80.0" w:type="dxa"/>
            </w:tcMar>
            <w:vAlign w:val="center"/>
          </w:tcPr>
          <w:p w:rsidR="00000000" w:rsidDel="00000000" w:rsidP="00000000" w:rsidRDefault="00000000" w:rsidRPr="00000000" w14:paraId="000000E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Normal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0">
            <w:pPr>
              <w:spacing w:after="0" w:line="240" w:lineRule="auto"/>
              <w:rPr>
                <w:rFonts w:ascii="Times New Roman" w:cs="Times New Roman" w:eastAsia="Times New Roman" w:hAnsi="Times New Roman"/>
              </w:rPr>
            </w:pPr>
            <w:sdt>
              <w:sdtPr>
                <w:id w:val="1178572116"/>
                <w:tag w:val="goog_rdk_3"/>
              </w:sdtPr>
              <w:sdtContent>
                <w:r w:rsidDel="00000000" w:rsidR="00000000" w:rsidRPr="00000000">
                  <w:rPr>
                    <w:rFonts w:ascii="Cardo" w:cs="Cardo" w:eastAsia="Cardo" w:hAnsi="Cardo"/>
                    <w:sz w:val="17"/>
                    <w:szCs w:val="17"/>
                    <w:rtl w:val="0"/>
                  </w:rPr>
                  <w:t xml:space="preserve">aumento (Δ = lectura − línea base) menor a 150 cuentas ADC (valor provisional). Indicación: LED verde fijo. Acción: ninguna.</w:t>
                </w:r>
              </w:sdtContent>
            </w:sdt>
            <w:r w:rsidDel="00000000" w:rsidR="00000000" w:rsidRPr="00000000">
              <w:rPr>
                <w:rtl w:val="0"/>
              </w:rPr>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0F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Precaución</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0F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Δ entre 150 y 399 cuentas ADC. Indicación: LED rojo parpadeante. Acción: revisar conexiones y ventilar el ambiente.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Alerta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Δ de 400 cuentas ADC o más. Indicación: LED rojo fijo y buzzer. Acción: cerrar la válvula del balón, ventilar, no encender fuego ni aparatos eléctricos, evacuar y llamar a Bomberos (116).</w:t>
            </w:r>
            <w:r w:rsidDel="00000000" w:rsidR="00000000" w:rsidRPr="00000000">
              <w:rPr>
                <w:rtl w:val="0"/>
              </w:rPr>
            </w:r>
          </w:p>
        </w:tc>
      </w:tr>
    </w:tbl>
    <w:p w:rsidR="00000000" w:rsidDel="00000000" w:rsidP="00000000" w:rsidRDefault="00000000" w:rsidRPr="00000000" w14:paraId="000000F5">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Nota. Los umbrales mostrados son valores provisionales de programación y deberán calibrarse con el hardware real; en esta unidad no se presentan resultados de validación.</w:t>
      </w: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Alcance de esta unidad. Se presenta el diseño e implementación del hardware, su lógica de funcionamiento y la emisión de datos. No se incluyen metodología de investigación, resultados, discusión ni conclusiones. El prototipo no sustituye a un detector de gas certificado.</w:t>
      </w:r>
      <w:r w:rsidDel="00000000" w:rsidR="00000000" w:rsidRPr="00000000">
        <w:rPr>
          <w:rtl w:val="0"/>
        </w:rPr>
      </w:r>
    </w:p>
    <w:p w:rsidR="00000000" w:rsidDel="00000000" w:rsidP="00000000" w:rsidRDefault="00000000" w:rsidRPr="00000000" w14:paraId="000000F8">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9.3 Personal responsable (roles)</w:t>
      </w:r>
    </w:p>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personal del hogar y de las instituciones no cambia; el sistema refuerza su trabajo y no busca reducir personal.</w:t>
      </w:r>
    </w:p>
    <w:p w:rsidR="00000000" w:rsidDel="00000000" w:rsidP="00000000" w:rsidRDefault="00000000" w:rsidRPr="00000000" w14:paraId="000000F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Tabla 8. Personal responsable en la solución propuesta</w:t>
      </w:r>
      <w:r w:rsidDel="00000000" w:rsidR="00000000" w:rsidRPr="00000000">
        <w:rPr>
          <w:rtl w:val="0"/>
        </w:rPr>
      </w:r>
    </w:p>
    <w:tbl>
      <w:tblPr>
        <w:tblStyle w:val="Table8"/>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tcMar>
              <w:top w:w="80.0" w:type="dxa"/>
              <w:bottom w:w="80.0" w:type="dxa"/>
            </w:tcMar>
            <w:vAlign w:val="center"/>
          </w:tcPr>
          <w:p w:rsidR="00000000" w:rsidDel="00000000" w:rsidP="00000000" w:rsidRDefault="00000000" w:rsidRPr="00000000" w14:paraId="000000F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Jefe/a de hogar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atiende la alerta: cierra la válvula, ventila, evita chispas, evacúa y llama a Bomberos. No manipula el circuito.</w:t>
            </w:r>
            <w:r w:rsidDel="00000000" w:rsidR="00000000" w:rsidRPr="00000000">
              <w:rPr>
                <w:rtl w:val="0"/>
              </w:rPr>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0F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Equipo instalador y de mantenimiento</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0F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instala el prototipo, calibra la línea base y revisa el funcionamiento periódicamente.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IoT Developer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diseña el circuito y programa el firmware del ESP32.</w:t>
            </w:r>
            <w:r w:rsidDel="00000000" w:rsidR="00000000" w:rsidRPr="00000000">
              <w:rPr>
                <w:rtl w:val="0"/>
              </w:rPr>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10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Data Scientist</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 los datos y entrena los modelos de regresión y el autoencoder (proyección futura).</w:t>
            </w:r>
          </w:p>
        </w:tc>
      </w:tr>
      <w:tr>
        <w:trPr>
          <w:cantSplit w:val="0"/>
          <w:tblHeader w:val="0"/>
        </w:trPr>
        <w:tc>
          <w:tcPr>
            <w:tcMar>
              <w:top w:w="80.0" w:type="dxa"/>
              <w:bottom w:w="80.0" w:type="dxa"/>
            </w:tcMar>
            <w:vAlign w:val="center"/>
          </w:tcPr>
          <w:p w:rsidR="00000000" w:rsidDel="00000000" w:rsidP="00000000" w:rsidRDefault="00000000" w:rsidRPr="00000000" w14:paraId="0000010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Backend Developer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 la recepción y el almacenamiento de datos en el servidor (proyección futura).</w:t>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1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Frontend Developer</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 el panel de monitoreo y las notificaciones (proyección futura).</w:t>
            </w:r>
          </w:p>
        </w:tc>
      </w:tr>
      <w:tr>
        <w:trPr>
          <w:cantSplit w:val="0"/>
          <w:tblHeader w:val="0"/>
        </w:trPr>
        <w:tc>
          <w:tcPr>
            <w:tcMar>
              <w:top w:w="80.0" w:type="dxa"/>
              <w:bottom w:w="80.0" w:type="dxa"/>
            </w:tcMar>
            <w:vAlign w:val="center"/>
          </w:tcPr>
          <w:p w:rsidR="00000000" w:rsidDel="00000000" w:rsidP="00000000" w:rsidRDefault="00000000" w:rsidRPr="00000000" w14:paraId="0000010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Distribuidor de GLP, Osinergmin y Bomberos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mantienen las funciones descritas en la situación actual; no hay cambios.</w:t>
            </w:r>
            <w:r w:rsidDel="00000000" w:rsidR="00000000" w:rsidRPr="00000000">
              <w:rPr>
                <w:rtl w:val="0"/>
              </w:rPr>
            </w:r>
          </w:p>
        </w:tc>
      </w:tr>
    </w:tbl>
    <w:p w:rsidR="00000000" w:rsidDel="00000000" w:rsidP="00000000" w:rsidRDefault="00000000" w:rsidRPr="00000000" w14:paraId="00000109">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9.4 Tecnología propuesta (HW-SW al detalle)</w:t>
      </w:r>
    </w:p>
    <w:p w:rsidR="00000000" w:rsidDel="00000000" w:rsidP="00000000" w:rsidRDefault="00000000" w:rsidRPr="00000000" w14:paraId="0000010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Tabla 9. Hardware de la solución propuesta (componente | especificación | función | cantidad)</w:t>
      </w:r>
      <w:r w:rsidDel="00000000" w:rsidR="00000000" w:rsidRPr="00000000">
        <w:rPr>
          <w:rtl w:val="0"/>
        </w:rPr>
      </w:r>
    </w:p>
    <w:tbl>
      <w:tblPr>
        <w:tblStyle w:val="Table9"/>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394"/>
        <w:gridCol w:w="2394"/>
        <w:gridCol w:w="2394"/>
        <w:tblGridChange w:id="0">
          <w:tblGrid>
            <w:gridCol w:w="2394"/>
            <w:gridCol w:w="2394"/>
            <w:gridCol w:w="2394"/>
            <w:gridCol w:w="2394"/>
          </w:tblGrid>
        </w:tblGridChange>
      </w:tblGrid>
      <w:tr>
        <w:trPr>
          <w:cantSplit w:val="0"/>
          <w:tblHeader w:val="0"/>
        </w:trPr>
        <w:tc>
          <w:tcPr>
            <w:tcMar>
              <w:top w:w="80.0" w:type="dxa"/>
              <w:bottom w:w="80.0" w:type="dxa"/>
            </w:tcMar>
            <w:vAlign w:val="center"/>
          </w:tcPr>
          <w:p w:rsidR="00000000" w:rsidDel="00000000" w:rsidP="00000000" w:rsidRDefault="00000000" w:rsidRPr="00000000" w14:paraId="000001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ESP32-WROOM-32 (placa de desarrollo)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microcontrolador de doble núcleo a 240 MHz, WiFi y Bluetooth, ADC de 12 bits, lógica de 3,3 V</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lee sensores, aplica la lógica y controla las alertas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1</w:t>
            </w:r>
            <w:r w:rsidDel="00000000" w:rsidR="00000000" w:rsidRPr="00000000">
              <w:rPr>
                <w:rtl w:val="0"/>
              </w:rPr>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11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Módulo sensor MQ-5</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1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semiconductor (SnO2), sensible a GLP y gas natural; salidas AO y DO; 5 V</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11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sensor principal de GLP</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11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Módulo sensor MQ-2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semiconductor (SnO2), sensible a GLP, metano, hidrógeno, alcohol y humo; salidas AO y DO; 5 V</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sensor complementario (humo y gases inflamables)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1</w:t>
            </w:r>
            <w:r w:rsidDel="00000000" w:rsidR="00000000" w:rsidRPr="00000000">
              <w:rPr>
                <w:rtl w:val="0"/>
              </w:rPr>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1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Resistencias 10 kΩ y 20 kΩ</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1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un par por sensor, formando un divisor de voltaje</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11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bajan la señal AO de 5 V a unos 3,3 V</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11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2 + 2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Buzzer activo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3 a 5 V, con oscilador interno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alerta sonora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1</w:t>
            </w:r>
            <w:r w:rsidDel="00000000" w:rsidR="00000000" w:rsidRPr="00000000">
              <w:rPr>
                <w:rtl w:val="0"/>
              </w:rPr>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12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LED rojo y LED verde</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12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5 mm, con resistencia de 220 Ω en serie</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12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indicación visual de estado</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12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2 LED + 2 resistencias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Protoboard y cables Dupont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protoboard de 830 puntos; 20 cables M-M y 20 M-H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conexiones sin soldadura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1 + 40</w:t>
            </w:r>
            <w:r w:rsidDel="00000000" w:rsidR="00000000" w:rsidRPr="00000000">
              <w:rPr>
                <w:rtl w:val="0"/>
              </w:rPr>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12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Cable USB de datos y cargador de 5 V / 1 A</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1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cable micro-USB o USB-C según la placa</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12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alimentación y carga del firmware</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12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1 + 1</w:t>
            </w:r>
            <w:r w:rsidDel="00000000" w:rsidR="00000000" w:rsidRPr="00000000">
              <w:rPr>
                <w:rtl w:val="0"/>
              </w:rPr>
            </w:r>
          </w:p>
        </w:tc>
      </w:tr>
    </w:tbl>
    <w:p w:rsidR="00000000" w:rsidDel="00000000" w:rsidP="00000000" w:rsidRDefault="00000000" w:rsidRPr="00000000" w14:paraId="0000012C">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Tabla 10. Software de la solución propuesta (herramienta | función | alcance | costo)</w:t>
      </w:r>
      <w:r w:rsidDel="00000000" w:rsidR="00000000" w:rsidRPr="00000000">
        <w:rPr>
          <w:rtl w:val="0"/>
        </w:rPr>
      </w:r>
    </w:p>
    <w:tbl>
      <w:tblPr>
        <w:tblStyle w:val="Table10"/>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394"/>
        <w:gridCol w:w="2394"/>
        <w:gridCol w:w="2394"/>
        <w:tblGridChange w:id="0">
          <w:tblGrid>
            <w:gridCol w:w="2394"/>
            <w:gridCol w:w="2394"/>
            <w:gridCol w:w="2394"/>
            <w:gridCol w:w="2394"/>
          </w:tblGrid>
        </w:tblGridChange>
      </w:tblGrid>
      <w:tr>
        <w:trPr>
          <w:cantSplit w:val="0"/>
          <w:tblHeader w:val="0"/>
        </w:trPr>
        <w:tc>
          <w:tcPr>
            <w:tcMar>
              <w:top w:w="80.0" w:type="dxa"/>
              <w:bottom w:w="80.0" w:type="dxa"/>
            </w:tcMar>
            <w:vAlign w:val="center"/>
          </w:tcPr>
          <w:p w:rsidR="00000000" w:rsidDel="00000000" w:rsidP="00000000" w:rsidRDefault="00000000" w:rsidRPr="00000000" w14:paraId="0000012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Arduino IDE 2.x con soporte ESP32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programar y cargar el firmware en 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Unidad I</w:t>
            </w:r>
          </w:p>
        </w:tc>
        <w:tc>
          <w:tcPr>
            <w:tcMar>
              <w:top w:w="80.0" w:type="dxa"/>
              <w:bottom w:w="80.0" w:type="dxa"/>
            </w:tcMar>
            <w:vAlign w:val="center"/>
          </w:tcPr>
          <w:p w:rsidR="00000000" w:rsidDel="00000000" w:rsidP="00000000" w:rsidRDefault="00000000" w:rsidRPr="00000000" w14:paraId="0000013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gratis</w:t>
            </w:r>
            <w:r w:rsidDel="00000000" w:rsidR="00000000" w:rsidRPr="00000000">
              <w:rPr>
                <w:rtl w:val="0"/>
              </w:rPr>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13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Driver USB-UART (CP210x o CH340)</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13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reconocer la placa desde la computadora</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Unidad I</w:t>
            </w:r>
          </w:p>
        </w:tc>
        <w:tc>
          <w:tcPr>
            <w:shd w:fill="f7f9fc" w:val="clear"/>
            <w:tcMar>
              <w:top w:w="80.0" w:type="dxa"/>
              <w:bottom w:w="80.0" w:type="dxa"/>
            </w:tcMar>
            <w:vAlign w:val="center"/>
          </w:tcPr>
          <w:p w:rsidR="00000000" w:rsidDel="00000000" w:rsidP="00000000" w:rsidRDefault="00000000" w:rsidRPr="00000000" w14:paraId="000001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gratis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Monitor Serie / captura de CSV</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ver y guardar las lecturas del sensor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Unidad I</w:t>
            </w:r>
          </w:p>
        </w:tc>
        <w:tc>
          <w:tcPr>
            <w:tcMar>
              <w:top w:w="80.0" w:type="dxa"/>
              <w:bottom w:w="80.0" w:type="dxa"/>
            </w:tcMar>
            <w:vAlign w:val="center"/>
          </w:tcPr>
          <w:p w:rsidR="00000000" w:rsidDel="00000000" w:rsidP="00000000" w:rsidRDefault="00000000" w:rsidRPr="00000000" w14:paraId="0000013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gratis</w:t>
            </w:r>
            <w:r w:rsidDel="00000000" w:rsidR="00000000" w:rsidRPr="00000000">
              <w:rPr>
                <w:rtl w:val="0"/>
              </w:rPr>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1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Python 3.11 (pandas, scikit-learn, XGBoost, TensorFlow/Keras, matplotlib)</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analítica y modelos de IA propuestos para una unidad posterior; no implementados ni evaluados en esta unidad</w:t>
            </w:r>
          </w:p>
        </w:tc>
        <w:tc>
          <w:tcPr>
            <w:shd w:fill="f7f9fc" w:val="clear"/>
            <w:tcMar>
              <w:top w:w="80.0" w:type="dxa"/>
              <w:bottom w:w="80.0" w:type="dxa"/>
            </w:tcMar>
            <w:vAlign w:val="center"/>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Proyección futura</w:t>
            </w:r>
          </w:p>
        </w:tc>
        <w:tc>
          <w:tcPr>
            <w:shd w:fill="f7f9fc" w:val="clear"/>
            <w:tcMar>
              <w:top w:w="80.0" w:type="dxa"/>
              <w:bottom w:w="80.0" w:type="dxa"/>
            </w:tcMar>
            <w:vAlign w:val="center"/>
          </w:tcPr>
          <w:p w:rsidR="00000000" w:rsidDel="00000000" w:rsidP="00000000" w:rsidRDefault="00000000" w:rsidRPr="00000000" w14:paraId="0000013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gratis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Streamlit o Flask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panel de monitoreo propuesto para una unidad posterior</w:t>
            </w:r>
          </w:p>
        </w:tc>
        <w:tc>
          <w:tcPr>
            <w:tcMar>
              <w:top w:w="80.0" w:type="dxa"/>
              <w:bottom w:w="80.0" w:type="dxa"/>
            </w:tcMar>
            <w:vAlign w:val="center"/>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Proyección futura</w:t>
            </w:r>
          </w:p>
        </w:tc>
        <w:tc>
          <w:tcPr>
            <w:tcMar>
              <w:top w:w="80.0" w:type="dxa"/>
              <w:bottom w:w="80.0" w:type="dxa"/>
            </w:tcMar>
            <w:vAlign w:val="center"/>
          </w:tcPr>
          <w:p w:rsidR="00000000" w:rsidDel="00000000" w:rsidP="00000000" w:rsidRDefault="00000000" w:rsidRPr="00000000" w14:paraId="0000014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gratis</w:t>
            </w:r>
            <w:r w:rsidDel="00000000" w:rsidR="00000000" w:rsidRPr="00000000">
              <w:rPr>
                <w:rtl w:val="0"/>
              </w:rPr>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1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VPS y dominio (opcional)</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14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alojar el panel para verlo desde internet</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Proyección futura (opcional)</w:t>
            </w:r>
          </w:p>
        </w:tc>
        <w:tc>
          <w:tcPr>
            <w:shd w:fill="f7f9fc" w:val="clear"/>
            <w:tcMar>
              <w:top w:w="80.0" w:type="dxa"/>
              <w:bottom w:w="80.0" w:type="dxa"/>
            </w:tcMar>
            <w:vAlign w:val="center"/>
          </w:tcPr>
          <w:p w:rsidR="00000000" w:rsidDel="00000000" w:rsidP="00000000" w:rsidRDefault="00000000" w:rsidRPr="00000000" w14:paraId="0000014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132 USD por año</w:t>
            </w:r>
            <w:r w:rsidDel="00000000" w:rsidR="00000000" w:rsidRPr="00000000">
              <w:rPr>
                <w:rtl w:val="0"/>
              </w:rPr>
            </w:r>
          </w:p>
        </w:tc>
      </w:tr>
    </w:tbl>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Firmware del prototipo. </w:t>
      </w:r>
      <w:r w:rsidDel="00000000" w:rsidR="00000000" w:rsidRPr="00000000">
        <w:rPr>
          <w:rFonts w:ascii="Times New Roman" w:cs="Times New Roman" w:eastAsia="Times New Roman" w:hAnsi="Times New Roman"/>
          <w:rtl w:val="0"/>
        </w:rPr>
        <w:t xml:space="preserve">El programa del ESP32 configura GPIO34 y GPIO35 como entradas analógicas para MQ-2 y MQ-5, GPIO25 para el LED verde, GPIO23 para el LED rojo y GPIO19 para el buzzer. El firmware realiza precalentamiento, obtiene una línea base, lee los sensores periódicamente, compara la variación con umbrales provisionales, controla las alertas y envía las lecturas al Monitor Serie. El código completo se conserva como material de trabajo del equipo, pero no se incorpora como anexo para mantener el informe dentro del contenido solicitado para la Unidad I.</w:t>
      </w:r>
    </w:p>
    <w:p w:rsidR="00000000" w:rsidDel="00000000" w:rsidP="00000000" w:rsidRDefault="00000000" w:rsidRPr="00000000" w14:paraId="00000147">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9.5 Proveedores propuestos y sus características</w:t>
      </w:r>
    </w:p>
    <w:p w:rsidR="00000000" w:rsidDel="00000000" w:rsidP="00000000" w:rsidRDefault="00000000" w:rsidRPr="00000000" w14:paraId="000001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priorizan proveedores con información verificable, especificaciones claras y posibilidad de emitir comprobante. Para la Unidad I se da preferencia a proveedores locales de Trujillo y a las compras efectivamente realizadas por el equipo.</w:t>
      </w:r>
    </w:p>
    <w:p w:rsidR="00000000" w:rsidDel="00000000" w:rsidP="00000000" w:rsidRDefault="00000000" w:rsidRPr="00000000" w14:paraId="0000014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Tabla 11. Proveedores propuestos</w:t>
      </w:r>
      <w:r w:rsidDel="00000000" w:rsidR="00000000" w:rsidRPr="00000000">
        <w:rPr>
          <w:rtl w:val="0"/>
        </w:rPr>
      </w:r>
    </w:p>
    <w:tbl>
      <w:tblPr>
        <w:tblStyle w:val="Table1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tcMar>
              <w:top w:w="80.0" w:type="dxa"/>
              <w:bottom w:w="80.0" w:type="dxa"/>
            </w:tcMar>
            <w:vAlign w:val="center"/>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Naylamp Mechatronics S.A.C. – Urb. Ingeniería Mz. E Lt. 31, Trujillo, La Libertad</w:t>
            </w:r>
          </w:p>
        </w:tc>
        <w:tc>
          <w:tcPr>
            <w:tcMar>
              <w:top w:w="80.0" w:type="dxa"/>
              <w:bottom w:w="80.0" w:type="dxa"/>
            </w:tcMar>
            <w:vAlign w:val="center"/>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Proveedor utilizado por el equipo. En la boleta del 21/09/2026 figuran ESP32 DevKit V1, MQ-2, buzzer activo, LEDs, resistencias y cable USB. Permite recojo en Trujillo y también realiza envíos.</w:t>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Tesla Electronic E.I.R.L. – Víctor Larco Herrera, Trujillo</w:t>
            </w:r>
          </w:p>
        </w:tc>
        <w:tc>
          <w:tcPr>
            <w:shd w:fill="f7f9fc" w:val="clear"/>
            <w:tcMar>
              <w:top w:w="80.0" w:type="dxa"/>
              <w:bottom w:w="80.0" w:type="dxa"/>
            </w:tcMar>
            <w:vAlign w:val="center"/>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Alternativa local para componentes electrónicos. Su catálogo incluye resistencias de 20 kΩ; la cotización consultada es S/ 0,20 por unidad de 20 kΩ.</w:t>
            </w:r>
          </w:p>
        </w:tc>
      </w:tr>
      <w:tr>
        <w:trPr>
          <w:cantSplit w:val="0"/>
          <w:tblHeader w:val="0"/>
        </w:trPr>
        <w:tc>
          <w:tcPr>
            <w:tcMar>
              <w:top w:w="80.0" w:type="dxa"/>
              <w:bottom w:w="80.0" w:type="dxa"/>
            </w:tcMar>
            <w:vAlign w:val="center"/>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MTLAB – venta en línea, Perú</w:t>
            </w:r>
          </w:p>
        </w:tc>
        <w:tc>
          <w:tcPr>
            <w:tcMar>
              <w:top w:w="80.0" w:type="dxa"/>
              <w:bottom w:w="80.0" w:type="dxa"/>
            </w:tcMar>
            <w:vAlign w:val="center"/>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Proveedor alternativo para sensores. Publica el módulo MQ-5 para GLP, gas natural y butano a S/ 14,00.</w:t>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Mercado Libre Perú – plataforma en línea</w:t>
            </w:r>
          </w:p>
        </w:tc>
        <w:tc>
          <w:tcPr>
            <w:shd w:fill="f7f9fc" w:val="clear"/>
            <w:tcMar>
              <w:top w:w="80.0" w:type="dxa"/>
              <w:bottom w:w="80.0" w:type="dxa"/>
            </w:tcMar>
            <w:vAlign w:val="center"/>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Alternativa para componentes faltantes; se recomienda verificar reputación del vendedor, especificaciones, compatibilidad y costo de envío antes de comprar.</w:t>
            </w:r>
          </w:p>
        </w:tc>
      </w:tr>
    </w:tbl>
    <w:p w:rsidR="00000000" w:rsidDel="00000000" w:rsidP="00000000" w:rsidRDefault="00000000" w:rsidRPr="00000000" w14:paraId="00000153">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9.6 Presupuesto</w:t>
      </w:r>
    </w:p>
    <w:p w:rsidR="00000000" w:rsidDel="00000000" w:rsidP="00000000" w:rsidRDefault="00000000" w:rsidRPr="00000000" w14:paraId="000001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presupuesto de hardware se actualiza con la boleta real proporcionada por el equipo y con cotizaciones vigentes consultadas para los componentes faltantes. Los montos se expresan en soles. El subtotal mostrado no incluye el cargador USB 5 V / 1 A mientras el equipo no confirme si debe comprarlo o si utilizará uno disponible.</w:t>
      </w:r>
    </w:p>
    <w:p w:rsidR="00000000" w:rsidDel="00000000" w:rsidP="00000000" w:rsidRDefault="00000000" w:rsidRPr="00000000" w14:paraId="0000015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Tabla 12. Presupuesto de hardware (referencial) (ítem | cantidad | precio unitario USD | subtotal USD)</w:t>
      </w:r>
      <w:r w:rsidDel="00000000" w:rsidR="00000000" w:rsidRPr="00000000">
        <w:rPr>
          <w:rtl w:val="0"/>
        </w:rPr>
      </w:r>
    </w:p>
    <w:tbl>
      <w:tblPr>
        <w:tblStyle w:val="Table12"/>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394"/>
        <w:gridCol w:w="2394"/>
        <w:gridCol w:w="2394"/>
        <w:tblGridChange w:id="0">
          <w:tblGrid>
            <w:gridCol w:w="2394"/>
            <w:gridCol w:w="2394"/>
            <w:gridCol w:w="2394"/>
            <w:gridCol w:w="2394"/>
          </w:tblGrid>
        </w:tblGridChange>
      </w:tblGrid>
      <w:tr>
        <w:trPr>
          <w:cantSplit w:val="0"/>
          <w:tblHeader w:val="0"/>
        </w:trPr>
        <w:tc>
          <w:tcPr>
            <w:tcMar>
              <w:top w:w="80.0" w:type="dxa"/>
              <w:bottom w:w="80.0" w:type="dxa"/>
            </w:tcMar>
            <w:vAlign w:val="center"/>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ESP32 DevKit V1 / NodeMCU-32, 30 pines USB-C (comprado)</w:t>
            </w:r>
          </w:p>
        </w:tc>
        <w:tc>
          <w:tcPr>
            <w:tcMar>
              <w:top w:w="80.0" w:type="dxa"/>
              <w:bottom w:w="80.0" w:type="dxa"/>
            </w:tcMar>
            <w:vAlign w:val="center"/>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80.0" w:type="dxa"/>
              <w:bottom w:w="80.0" w:type="dxa"/>
            </w:tcMar>
            <w:vAlign w:val="center"/>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35,00</w:t>
            </w:r>
          </w:p>
        </w:tc>
        <w:tc>
          <w:tcPr>
            <w:tcMar>
              <w:top w:w="80.0" w:type="dxa"/>
              <w:bottom w:w="80.0" w:type="dxa"/>
            </w:tcMar>
            <w:vAlign w:val="center"/>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35,00</w:t>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MQ-2 (comprado)</w:t>
            </w:r>
          </w:p>
        </w:tc>
        <w:tc>
          <w:tcPr>
            <w:shd w:fill="f7f9fc" w:val="clear"/>
            <w:tcMar>
              <w:top w:w="80.0" w:type="dxa"/>
              <w:bottom w:w="80.0" w:type="dxa"/>
            </w:tcMar>
            <w:vAlign w:val="center"/>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7f9fc" w:val="clear"/>
            <w:tcMar>
              <w:top w:w="80.0" w:type="dxa"/>
              <w:bottom w:w="80.0" w:type="dxa"/>
            </w:tcMar>
            <w:vAlign w:val="center"/>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shd w:fill="f7f9fc" w:val="clear"/>
            <w:tcMar>
              <w:top w:w="80.0" w:type="dxa"/>
              <w:bottom w:w="80.0" w:type="dxa"/>
            </w:tcMar>
            <w:vAlign w:val="center"/>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r>
      <w:tr>
        <w:trPr>
          <w:cantSplit w:val="0"/>
          <w:tblHeader w:val="0"/>
        </w:trPr>
        <w:tc>
          <w:tcPr>
            <w:tcMar>
              <w:top w:w="80.0" w:type="dxa"/>
              <w:bottom w:w="80.0" w:type="dxa"/>
            </w:tcMar>
            <w:vAlign w:val="center"/>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MQ-5 (cotización MTLAB)</w:t>
            </w:r>
          </w:p>
        </w:tc>
        <w:tc>
          <w:tcPr>
            <w:tcMar>
              <w:top w:w="80.0" w:type="dxa"/>
              <w:bottom w:w="80.0" w:type="dxa"/>
            </w:tcMar>
            <w:vAlign w:val="center"/>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80.0" w:type="dxa"/>
              <w:bottom w:w="80.0" w:type="dxa"/>
            </w:tcMar>
            <w:vAlign w:val="center"/>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14,00</w:t>
            </w:r>
          </w:p>
        </w:tc>
        <w:tc>
          <w:tcPr>
            <w:tcMar>
              <w:top w:w="80.0" w:type="dxa"/>
              <w:bottom w:w="80.0" w:type="dxa"/>
            </w:tcMar>
            <w:vAlign w:val="center"/>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14,00</w:t>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Buzzer activo 12 mm, 5 V (comprado)</w:t>
            </w:r>
          </w:p>
        </w:tc>
        <w:tc>
          <w:tcPr>
            <w:shd w:fill="f7f9fc" w:val="clear"/>
            <w:tcMar>
              <w:top w:w="80.0" w:type="dxa"/>
              <w:bottom w:w="80.0" w:type="dxa"/>
            </w:tcMar>
            <w:vAlign w:val="center"/>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7f9fc" w:val="clear"/>
            <w:tcMar>
              <w:top w:w="80.0" w:type="dxa"/>
              <w:bottom w:w="80.0" w:type="dxa"/>
            </w:tcMar>
            <w:vAlign w:val="center"/>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c>
          <w:tcPr>
            <w:shd w:fill="f7f9fc" w:val="clear"/>
            <w:tcMar>
              <w:top w:w="80.0" w:type="dxa"/>
              <w:bottom w:w="80.0" w:type="dxa"/>
            </w:tcMar>
            <w:vAlign w:val="center"/>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r>
      <w:tr>
        <w:trPr>
          <w:cantSplit w:val="0"/>
          <w:tblHeader w:val="0"/>
        </w:trPr>
        <w:tc>
          <w:tcPr>
            <w:tcMar>
              <w:top w:w="80.0" w:type="dxa"/>
              <w:bottom w:w="80.0" w:type="dxa"/>
            </w:tcMar>
            <w:vAlign w:val="center"/>
          </w:tcPr>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 rojo 5 mm (comprado)</w:t>
            </w:r>
          </w:p>
        </w:tc>
        <w:tc>
          <w:tcPr>
            <w:tcMar>
              <w:top w:w="80.0" w:type="dxa"/>
              <w:bottom w:w="80.0" w:type="dxa"/>
            </w:tcMar>
            <w:vAlign w:val="center"/>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80.0" w:type="dxa"/>
              <w:bottom w:w="80.0" w:type="dxa"/>
            </w:tcMar>
            <w:vAlign w:val="center"/>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w:t>
            </w:r>
          </w:p>
        </w:tc>
        <w:tc>
          <w:tcPr>
            <w:tcMar>
              <w:top w:w="80.0" w:type="dxa"/>
              <w:bottom w:w="80.0" w:type="dxa"/>
            </w:tcMar>
            <w:vAlign w:val="center"/>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w:t>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 verde 5 mm (comprado)</w:t>
            </w:r>
          </w:p>
        </w:tc>
        <w:tc>
          <w:tcPr>
            <w:shd w:fill="f7f9fc" w:val="clear"/>
            <w:tcMar>
              <w:top w:w="80.0" w:type="dxa"/>
              <w:bottom w:w="80.0" w:type="dxa"/>
            </w:tcMar>
            <w:vAlign w:val="center"/>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7f9fc" w:val="clear"/>
            <w:tcMar>
              <w:top w:w="80.0" w:type="dxa"/>
              <w:bottom w:w="80.0" w:type="dxa"/>
            </w:tcMar>
            <w:vAlign w:val="center"/>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w:t>
            </w:r>
          </w:p>
        </w:tc>
        <w:tc>
          <w:tcPr>
            <w:shd w:fill="f7f9fc" w:val="clear"/>
            <w:tcMar>
              <w:top w:w="80.0" w:type="dxa"/>
              <w:bottom w:w="80.0" w:type="dxa"/>
            </w:tcMar>
            <w:vAlign w:val="center"/>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w:t>
            </w:r>
          </w:p>
        </w:tc>
      </w:tr>
      <w:tr>
        <w:trPr>
          <w:cantSplit w:val="0"/>
          <w:tblHeader w:val="0"/>
        </w:trPr>
        <w:tc>
          <w:tcPr>
            <w:tcMar>
              <w:top w:w="80.0" w:type="dxa"/>
              <w:bottom w:w="80.0" w:type="dxa"/>
            </w:tcMar>
            <w:vAlign w:val="center"/>
          </w:tcPr>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Resistencias 220 Ω, 1/4 W (compradas)</w:t>
            </w:r>
          </w:p>
        </w:tc>
        <w:tc>
          <w:tcPr>
            <w:tcMar>
              <w:top w:w="80.0" w:type="dxa"/>
              <w:bottom w:w="80.0" w:type="dxa"/>
            </w:tcMar>
            <w:vAlign w:val="center"/>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80.0" w:type="dxa"/>
              <w:bottom w:w="80.0" w:type="dxa"/>
            </w:tcMar>
            <w:vAlign w:val="center"/>
          </w:tcPr>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w:t>
            </w:r>
          </w:p>
        </w:tc>
        <w:tc>
          <w:tcPr>
            <w:tcMar>
              <w:top w:w="80.0" w:type="dxa"/>
              <w:bottom w:w="80.0" w:type="dxa"/>
            </w:tcMar>
            <w:vAlign w:val="center"/>
          </w:tcPr>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w:t>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Resistencias 10 kΩ, 1/4 W (compradas)</w:t>
            </w:r>
          </w:p>
        </w:tc>
        <w:tc>
          <w:tcPr>
            <w:shd w:fill="f7f9fc" w:val="clear"/>
            <w:tcMar>
              <w:top w:w="80.0" w:type="dxa"/>
              <w:bottom w:w="80.0" w:type="dxa"/>
            </w:tcMar>
            <w:vAlign w:val="center"/>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7f9fc" w:val="clear"/>
            <w:tcMar>
              <w:top w:w="80.0" w:type="dxa"/>
              <w:bottom w:w="80.0" w:type="dxa"/>
            </w:tcMar>
            <w:vAlign w:val="center"/>
          </w:tcPr>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w:t>
            </w:r>
          </w:p>
        </w:tc>
        <w:tc>
          <w:tcPr>
            <w:shd w:fill="f7f9fc" w:val="clear"/>
            <w:tcMar>
              <w:top w:w="80.0" w:type="dxa"/>
              <w:bottom w:w="80.0" w:type="dxa"/>
            </w:tcMar>
            <w:vAlign w:val="center"/>
          </w:tcPr>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w:t>
            </w:r>
          </w:p>
        </w:tc>
      </w:tr>
      <w:tr>
        <w:trPr>
          <w:cantSplit w:val="0"/>
          <w:tblHeader w:val="0"/>
        </w:trPr>
        <w:tc>
          <w:tcPr>
            <w:tcMar>
              <w:top w:w="80.0" w:type="dxa"/>
              <w:bottom w:w="80.0" w:type="dxa"/>
            </w:tcMar>
            <w:vAlign w:val="center"/>
          </w:tcPr>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Resistencias 20 kΩ (cotización Tesla Electronic)</w:t>
            </w:r>
          </w:p>
        </w:tc>
        <w:tc>
          <w:tcPr>
            <w:tcMar>
              <w:top w:w="80.0" w:type="dxa"/>
              <w:bottom w:w="80.0" w:type="dxa"/>
            </w:tcMar>
            <w:vAlign w:val="center"/>
          </w:tcPr>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80.0" w:type="dxa"/>
              <w:bottom w:w="80.0" w:type="dxa"/>
            </w:tcMar>
            <w:vAlign w:val="center"/>
          </w:tcPr>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w:t>
            </w:r>
          </w:p>
        </w:tc>
        <w:tc>
          <w:tcPr>
            <w:tcMar>
              <w:top w:w="80.0" w:type="dxa"/>
              <w:bottom w:w="80.0" w:type="dxa"/>
            </w:tcMar>
            <w:vAlign w:val="center"/>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w:t>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Protoboard de 830 puntos (cotización Naylamp)</w:t>
            </w:r>
          </w:p>
        </w:tc>
        <w:tc>
          <w:tcPr>
            <w:shd w:fill="f7f9fc" w:val="clear"/>
            <w:tcMar>
              <w:top w:w="80.0" w:type="dxa"/>
              <w:bottom w:w="80.0" w:type="dxa"/>
            </w:tcMar>
            <w:vAlign w:val="center"/>
          </w:tcPr>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7f9fc" w:val="clear"/>
            <w:tcMar>
              <w:top w:w="80.0" w:type="dxa"/>
              <w:bottom w:w="80.0" w:type="dxa"/>
            </w:tcMar>
            <w:vAlign w:val="center"/>
          </w:tcPr>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shd w:fill="f7f9fc" w:val="clear"/>
            <w:tcMar>
              <w:top w:w="80.0" w:type="dxa"/>
              <w:bottom w:w="80.0" w:type="dxa"/>
            </w:tcMar>
            <w:vAlign w:val="center"/>
          </w:tcPr>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r>
      <w:tr>
        <w:trPr>
          <w:cantSplit w:val="0"/>
          <w:tblHeader w:val="0"/>
        </w:trPr>
        <w:tc>
          <w:tcPr>
            <w:tcMar>
              <w:top w:w="80.0" w:type="dxa"/>
              <w:bottom w:w="80.0" w:type="dxa"/>
            </w:tcMar>
            <w:vAlign w:val="center"/>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Cables Dupont 20 M-M + 20 M-H (cotización Naylamp)</w:t>
            </w:r>
          </w:p>
        </w:tc>
        <w:tc>
          <w:tcPr>
            <w:tcMar>
              <w:top w:w="80.0" w:type="dxa"/>
              <w:bottom w:w="80.0" w:type="dxa"/>
            </w:tcMar>
            <w:vAlign w:val="center"/>
          </w:tcPr>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packs</w:t>
            </w:r>
          </w:p>
        </w:tc>
        <w:tc>
          <w:tcPr>
            <w:tcMar>
              <w:top w:w="80.0" w:type="dxa"/>
              <w:bottom w:w="80.0" w:type="dxa"/>
            </w:tcMar>
            <w:vAlign w:val="center"/>
          </w:tcPr>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tcMar>
              <w:top w:w="80.0" w:type="dxa"/>
              <w:bottom w:w="80.0" w:type="dxa"/>
            </w:tcMar>
            <w:vAlign w:val="center"/>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Cable USB-A a USB-C, 1 m (comprado)</w:t>
            </w:r>
          </w:p>
        </w:tc>
        <w:tc>
          <w:tcPr>
            <w:shd w:fill="f7f9fc" w:val="clear"/>
            <w:tcMar>
              <w:top w:w="80.0" w:type="dxa"/>
              <w:bottom w:w="80.0" w:type="dxa"/>
            </w:tcMar>
            <w:vAlign w:val="center"/>
          </w:tcPr>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7f9fc" w:val="clear"/>
            <w:tcMar>
              <w:top w:w="80.0" w:type="dxa"/>
              <w:bottom w:w="80.0" w:type="dxa"/>
            </w:tcMar>
            <w:vAlign w:val="center"/>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12,00</w:t>
            </w:r>
          </w:p>
        </w:tc>
        <w:tc>
          <w:tcPr>
            <w:shd w:fill="f7f9fc" w:val="clear"/>
            <w:tcMar>
              <w:top w:w="80.0" w:type="dxa"/>
              <w:bottom w:w="80.0" w:type="dxa"/>
            </w:tcMar>
            <w:vAlign w:val="center"/>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12,00</w:t>
            </w:r>
          </w:p>
        </w:tc>
      </w:tr>
      <w:tr>
        <w:trPr>
          <w:cantSplit w:val="0"/>
          <w:tblHeader w:val="0"/>
        </w:trPr>
        <w:tc>
          <w:tcPr>
            <w:tcMar>
              <w:top w:w="80.0" w:type="dxa"/>
              <w:bottom w:w="80.0" w:type="dxa"/>
            </w:tcMar>
            <w:vAlign w:val="center"/>
          </w:tcPr>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Cargador USB 5 V / 1 A</w:t>
            </w:r>
          </w:p>
        </w:tc>
        <w:tc>
          <w:tcPr>
            <w:tcMar>
              <w:top w:w="80.0" w:type="dxa"/>
              <w:bottom w:w="80.0" w:type="dxa"/>
            </w:tcMar>
            <w:vAlign w:val="center"/>
          </w:tcPr>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80.0" w:type="dxa"/>
              <w:bottom w:w="80.0" w:type="dxa"/>
            </w:tcMar>
            <w:vAlign w:val="center"/>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9,00</w:t>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SUBTOTAL DOCUMENTADO/COTIZADO (sin cargador)</w:t>
            </w:r>
          </w:p>
        </w:tc>
        <w:tc>
          <w:tcPr>
            <w:shd w:fill="f7f9fc" w:val="clear"/>
            <w:tcMar>
              <w:top w:w="80.0" w:type="dxa"/>
              <w:bottom w:w="80.0" w:type="dxa"/>
            </w:tcMar>
            <w:vAlign w:val="center"/>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103,60</w:t>
            </w:r>
          </w:p>
        </w:tc>
      </w:tr>
    </w:tbl>
    <w:p w:rsidR="00000000" w:rsidDel="00000000" w:rsidP="00000000" w:rsidRDefault="00000000" w:rsidRPr="00000000" w14:paraId="0000018F">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Tabla 13. Presupuesto de software</w:t>
      </w:r>
      <w:r w:rsidDel="00000000" w:rsidR="00000000" w:rsidRPr="00000000">
        <w:rPr>
          <w:rtl w:val="0"/>
        </w:rPr>
      </w:r>
    </w:p>
    <w:tbl>
      <w:tblPr>
        <w:tblStyle w:val="Table13"/>
        <w:tblW w:w="95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5"/>
        <w:gridCol w:w="1915"/>
        <w:gridCol w:w="1915"/>
        <w:gridCol w:w="1915"/>
        <w:gridCol w:w="1915"/>
        <w:tblGridChange w:id="0">
          <w:tblGrid>
            <w:gridCol w:w="1915"/>
            <w:gridCol w:w="1915"/>
            <w:gridCol w:w="1915"/>
            <w:gridCol w:w="1915"/>
            <w:gridCol w:w="1915"/>
          </w:tblGrid>
        </w:tblGridChange>
      </w:tblGrid>
      <w:tr>
        <w:trPr>
          <w:cantSplit w:val="0"/>
          <w:tblHeader w:val="0"/>
        </w:trPr>
        <w:tc>
          <w:tcPr>
            <w:tcMar>
              <w:top w:w="80.0" w:type="dxa"/>
              <w:bottom w:w="80.0" w:type="dxa"/>
            </w:tcMar>
            <w:vAlign w:val="center"/>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Arduino IDE, driver USB y Monitor Serie</w:t>
            </w:r>
          </w:p>
        </w:tc>
        <w:tc>
          <w:tcPr>
            <w:tcMar>
              <w:top w:w="80.0" w:type="dxa"/>
              <w:bottom w:w="80.0" w:type="dxa"/>
            </w:tcMar>
            <w:vAlign w:val="center"/>
          </w:tcPr>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80.0" w:type="dxa"/>
              <w:bottom w:w="80.0" w:type="dxa"/>
            </w:tcMar>
            <w:vAlign w:val="center"/>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Mar>
              <w:top w:w="80.0" w:type="dxa"/>
              <w:bottom w:w="80.0" w:type="dxa"/>
            </w:tcMar>
            <w:vAlign w:val="center"/>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Mar>
              <w:top w:w="80.0" w:type="dxa"/>
              <w:bottom w:w="80.0" w:type="dxa"/>
            </w:tcMar>
            <w:vAlign w:val="center"/>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Unidad I</w:t>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y bibliotecas de código abierto</w:t>
            </w:r>
          </w:p>
        </w:tc>
        <w:tc>
          <w:tcPr>
            <w:shd w:fill="f7f9fc" w:val="clear"/>
            <w:tcMar>
              <w:top w:w="80.0" w:type="dxa"/>
              <w:bottom w:w="80.0" w:type="dxa"/>
            </w:tcMar>
            <w:vAlign w:val="center"/>
          </w:tcPr>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7f9fc" w:val="clear"/>
            <w:tcMar>
              <w:top w:w="80.0" w:type="dxa"/>
              <w:bottom w:w="80.0" w:type="dxa"/>
            </w:tcMar>
            <w:vAlign w:val="center"/>
          </w:tcPr>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shd w:fill="f7f9fc" w:val="clear"/>
            <w:tcMar>
              <w:top w:w="80.0" w:type="dxa"/>
              <w:bottom w:w="80.0" w:type="dxa"/>
            </w:tcMar>
            <w:vAlign w:val="center"/>
          </w:tcPr>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shd w:fill="f7f9fc" w:val="clear"/>
            <w:tcMar>
              <w:top w:w="80.0" w:type="dxa"/>
              <w:bottom w:w="80.0" w:type="dxa"/>
            </w:tcMar>
            <w:vAlign w:val="center"/>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Proyección futura</w:t>
            </w:r>
          </w:p>
        </w:tc>
      </w:tr>
      <w:tr>
        <w:trPr>
          <w:cantSplit w:val="0"/>
          <w:tblHeader w:val="0"/>
        </w:trPr>
        <w:tc>
          <w:tcPr>
            <w:tcMar>
              <w:top w:w="80.0" w:type="dxa"/>
              <w:bottom w:w="80.0" w:type="dxa"/>
            </w:tcMar>
            <w:vAlign w:val="center"/>
          </w:tcPr>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Streamlit o Flask</w:t>
            </w:r>
          </w:p>
        </w:tc>
        <w:tc>
          <w:tcPr>
            <w:tcMar>
              <w:top w:w="80.0" w:type="dxa"/>
              <w:bottom w:w="80.0" w:type="dxa"/>
            </w:tcMar>
            <w:vAlign w:val="center"/>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80.0" w:type="dxa"/>
              <w:bottom w:w="80.0" w:type="dxa"/>
            </w:tcMar>
            <w:vAlign w:val="center"/>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Mar>
              <w:top w:w="80.0" w:type="dxa"/>
              <w:bottom w:w="80.0" w:type="dxa"/>
            </w:tcMar>
            <w:vAlign w:val="center"/>
          </w:tcPr>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Mar>
              <w:top w:w="80.0" w:type="dxa"/>
              <w:bottom w:w="80.0" w:type="dxa"/>
            </w:tcMar>
            <w:vAlign w:val="center"/>
          </w:tcPr>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Proyección futura</w:t>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DigitalOcean Basic Droplet 1 GiB</w:t>
            </w:r>
          </w:p>
        </w:tc>
        <w:tc>
          <w:tcPr>
            <w:shd w:fill="f7f9fc" w:val="clear"/>
            <w:tcMar>
              <w:top w:w="80.0" w:type="dxa"/>
              <w:bottom w:w="80.0" w:type="dxa"/>
            </w:tcMar>
            <w:vAlign w:val="center"/>
          </w:tcPr>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meses</w:t>
            </w:r>
          </w:p>
        </w:tc>
        <w:tc>
          <w:tcPr>
            <w:shd w:fill="f7f9fc" w:val="clear"/>
            <w:tcMar>
              <w:top w:w="80.0" w:type="dxa"/>
              <w:bottom w:w="80.0" w:type="dxa"/>
            </w:tcMar>
            <w:vAlign w:val="center"/>
          </w:tcPr>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US$ 6/mes</w:t>
            </w:r>
          </w:p>
        </w:tc>
        <w:tc>
          <w:tcPr>
            <w:shd w:fill="f7f9fc" w:val="clear"/>
            <w:tcMar>
              <w:top w:w="80.0" w:type="dxa"/>
              <w:bottom w:w="80.0" w:type="dxa"/>
            </w:tcMar>
            <w:vAlign w:val="center"/>
          </w:tcPr>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US$ 72/año</w:t>
            </w:r>
          </w:p>
        </w:tc>
        <w:tc>
          <w:tcPr>
            <w:shd w:fill="f7f9fc" w:val="clear"/>
            <w:tcMar>
              <w:top w:w="80.0" w:type="dxa"/>
              <w:bottom w:w="80.0" w:type="dxa"/>
            </w:tcMar>
            <w:vAlign w:val="center"/>
          </w:tcPr>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Proyección futura; no incluido en Unidad I</w:t>
            </w:r>
          </w:p>
        </w:tc>
      </w:tr>
      <w:tr>
        <w:trPr>
          <w:cantSplit w:val="0"/>
          <w:tblHeader w:val="0"/>
        </w:trPr>
        <w:tc>
          <w:tcPr>
            <w:tcMar>
              <w:top w:w="80.0" w:type="dxa"/>
              <w:bottom w:w="80.0" w:type="dxa"/>
            </w:tcMar>
            <w:vAlign w:val="center"/>
          </w:tcPr>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Dominio</w:t>
            </w:r>
          </w:p>
        </w:tc>
        <w:tc>
          <w:tcPr>
            <w:tcMar>
              <w:top w:w="80.0" w:type="dxa"/>
              <w:bottom w:w="80.0" w:type="dxa"/>
            </w:tcMar>
            <w:vAlign w:val="center"/>
          </w:tcPr>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80.0" w:type="dxa"/>
              <w:bottom w:w="80.0" w:type="dxa"/>
            </w:tcMar>
            <w:vAlign w:val="center"/>
          </w:tcPr>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requerido</w:t>
            </w:r>
          </w:p>
        </w:tc>
        <w:tc>
          <w:tcPr>
            <w:tcMar>
              <w:top w:w="80.0" w:type="dxa"/>
              <w:bottom w:w="80.0" w:type="dxa"/>
            </w:tcMar>
            <w:vAlign w:val="center"/>
          </w:tcPr>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incluido</w:t>
            </w:r>
          </w:p>
        </w:tc>
        <w:tc>
          <w:tcPr>
            <w:tcMar>
              <w:top w:w="80.0" w:type="dxa"/>
              <w:bottom w:w="80.0" w:type="dxa"/>
            </w:tcMar>
            <w:vAlign w:val="center"/>
          </w:tcPr>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Proyección futura opcional</w:t>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SOFTWARE DESEMBOLSADO EN UNIDAD I</w:t>
            </w:r>
          </w:p>
        </w:tc>
        <w:tc>
          <w:tcPr>
            <w:shd w:fill="f7f9fc" w:val="clear"/>
            <w:tcMar>
              <w:top w:w="80.0" w:type="dxa"/>
              <w:bottom w:w="80.0" w:type="dxa"/>
            </w:tcMar>
            <w:vAlign w:val="center"/>
          </w:tcPr>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0,00</w:t>
            </w:r>
          </w:p>
        </w:tc>
        <w:tc>
          <w:tcPr>
            <w:shd w:fill="f7f9fc" w:val="clear"/>
            <w:tcMar>
              <w:top w:w="80.0" w:type="dxa"/>
              <w:bottom w:w="80.0" w:type="dxa"/>
            </w:tcMar>
            <w:vAlign w:val="center"/>
          </w:tcPr>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base gratuito</w:t>
            </w:r>
          </w:p>
        </w:tc>
      </w:tr>
    </w:tbl>
    <w:p w:rsidR="00000000" w:rsidDel="00000000" w:rsidP="00000000" w:rsidRDefault="00000000" w:rsidRPr="00000000" w14:paraId="000001AF">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Tabla 14. Presupuesto de recursos humanos (roles de desarrollo)</w:t>
      </w:r>
      <w:r w:rsidDel="00000000" w:rsidR="00000000" w:rsidRPr="00000000">
        <w:rPr>
          <w:rtl w:val="0"/>
        </w:rPr>
      </w:r>
    </w:p>
    <w:tbl>
      <w:tblPr>
        <w:tblStyle w:val="Table14"/>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394"/>
        <w:gridCol w:w="2394"/>
        <w:gridCol w:w="2394"/>
        <w:tblGridChange w:id="0">
          <w:tblGrid>
            <w:gridCol w:w="2394"/>
            <w:gridCol w:w="2394"/>
            <w:gridCol w:w="2394"/>
            <w:gridCol w:w="2394"/>
          </w:tblGrid>
        </w:tblGridChange>
      </w:tblGrid>
      <w:tr>
        <w:trPr>
          <w:cantSplit w:val="0"/>
          <w:tblHeader w:val="0"/>
        </w:trPr>
        <w:tc>
          <w:tcPr>
            <w:tcMar>
              <w:top w:w="80.0" w:type="dxa"/>
              <w:bottom w:w="80.0" w:type="dxa"/>
            </w:tcMar>
            <w:vAlign w:val="center"/>
          </w:tcPr>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IoT Developer / integrante responsable de hardware</w:t>
            </w:r>
          </w:p>
        </w:tc>
        <w:tc>
          <w:tcPr>
            <w:tcMar>
              <w:top w:w="80.0" w:type="dxa"/>
              <w:bottom w:w="80.0" w:type="dxa"/>
            </w:tcMar>
            <w:vAlign w:val="center"/>
          </w:tcPr>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80.0" w:type="dxa"/>
              <w:bottom w:w="80.0" w:type="dxa"/>
            </w:tcMar>
            <w:vAlign w:val="center"/>
          </w:tcPr>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Aporte académico</w:t>
            </w:r>
          </w:p>
        </w:tc>
        <w:tc>
          <w:tcPr>
            <w:tcMar>
              <w:top w:w="80.0" w:type="dxa"/>
              <w:bottom w:w="80.0" w:type="dxa"/>
            </w:tcMar>
            <w:vAlign w:val="center"/>
          </w:tcPr>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0,00 (sin contratación externa)</w:t>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Scientist</w:t>
            </w:r>
          </w:p>
        </w:tc>
        <w:tc>
          <w:tcPr>
            <w:shd w:fill="f7f9fc" w:val="clear"/>
            <w:tcMar>
              <w:top w:w="80.0" w:type="dxa"/>
              <w:bottom w:w="80.0" w:type="dxa"/>
            </w:tcMar>
            <w:vAlign w:val="center"/>
          </w:tcPr>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7f9fc" w:val="clear"/>
            <w:tcMar>
              <w:top w:w="80.0" w:type="dxa"/>
              <w:bottom w:w="80.0" w:type="dxa"/>
            </w:tcMar>
            <w:vAlign w:val="center"/>
          </w:tcPr>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Proyección futura</w:t>
            </w:r>
          </w:p>
        </w:tc>
        <w:tc>
          <w:tcPr>
            <w:shd w:fill="f7f9fc" w:val="clear"/>
            <w:tcMar>
              <w:top w:w="80.0" w:type="dxa"/>
              <w:bottom w:w="80.0" w:type="dxa"/>
            </w:tcMar>
            <w:vAlign w:val="center"/>
          </w:tcPr>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incluido en Unidad I</w:t>
            </w:r>
          </w:p>
        </w:tc>
      </w:tr>
      <w:tr>
        <w:trPr>
          <w:cantSplit w:val="0"/>
          <w:tblHeader w:val="0"/>
        </w:trPr>
        <w:tc>
          <w:tcPr>
            <w:tcMar>
              <w:top w:w="80.0" w:type="dxa"/>
              <w:bottom w:w="80.0" w:type="dxa"/>
            </w:tcMar>
            <w:vAlign w:val="center"/>
          </w:tcPr>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Developer</w:t>
            </w:r>
          </w:p>
        </w:tc>
        <w:tc>
          <w:tcPr>
            <w:tcMar>
              <w:top w:w="80.0" w:type="dxa"/>
              <w:bottom w:w="80.0" w:type="dxa"/>
            </w:tcMar>
            <w:vAlign w:val="center"/>
          </w:tcPr>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80.0" w:type="dxa"/>
              <w:bottom w:w="80.0" w:type="dxa"/>
            </w:tcMar>
            <w:vAlign w:val="center"/>
          </w:tcPr>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Proyección futura</w:t>
            </w:r>
          </w:p>
        </w:tc>
        <w:tc>
          <w:tcPr>
            <w:tcMar>
              <w:top w:w="80.0" w:type="dxa"/>
              <w:bottom w:w="80.0" w:type="dxa"/>
            </w:tcMar>
            <w:vAlign w:val="center"/>
          </w:tcPr>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incluido en Unidad I</w:t>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Developer</w:t>
            </w:r>
          </w:p>
        </w:tc>
        <w:tc>
          <w:tcPr>
            <w:shd w:fill="f7f9fc" w:val="clear"/>
            <w:tcMar>
              <w:top w:w="80.0" w:type="dxa"/>
              <w:bottom w:w="80.0" w:type="dxa"/>
            </w:tcMar>
            <w:vAlign w:val="center"/>
          </w:tcPr>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7f9fc" w:val="clear"/>
            <w:tcMar>
              <w:top w:w="80.0" w:type="dxa"/>
              <w:bottom w:w="80.0" w:type="dxa"/>
            </w:tcMar>
            <w:vAlign w:val="center"/>
          </w:tcPr>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Proyección futura</w:t>
            </w:r>
          </w:p>
        </w:tc>
        <w:tc>
          <w:tcPr>
            <w:shd w:fill="f7f9fc" w:val="clear"/>
            <w:tcMar>
              <w:top w:w="80.0" w:type="dxa"/>
              <w:bottom w:w="80.0" w:type="dxa"/>
            </w:tcMar>
            <w:vAlign w:val="center"/>
          </w:tcPr>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incluido en Unidad I</w:t>
            </w:r>
          </w:p>
        </w:tc>
      </w:tr>
      <w:tr>
        <w:trPr>
          <w:cantSplit w:val="0"/>
          <w:tblHeader w:val="0"/>
        </w:trPr>
        <w:tc>
          <w:tcPr>
            <w:tcMar>
              <w:top w:w="80.0" w:type="dxa"/>
              <w:bottom w:w="80.0" w:type="dxa"/>
            </w:tcMar>
            <w:vAlign w:val="center"/>
          </w:tcPr>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 DIRECTO DE RR. HH. EN UNIDAD I</w:t>
            </w:r>
          </w:p>
        </w:tc>
        <w:tc>
          <w:tcPr>
            <w:tcMar>
              <w:top w:w="80.0" w:type="dxa"/>
              <w:bottom w:w="80.0" w:type="dxa"/>
            </w:tcMar>
            <w:vAlign w:val="center"/>
          </w:tcPr>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0,00</w:t>
            </w:r>
          </w:p>
        </w:tc>
      </w:tr>
    </w:tbl>
    <w:p w:rsidR="00000000" w:rsidDel="00000000" w:rsidP="00000000" w:rsidRDefault="00000000" w:rsidRPr="00000000" w14:paraId="000001C5">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Tabla 15. Resumen del presupuesto</w:t>
      </w:r>
      <w:r w:rsidDel="00000000" w:rsidR="00000000" w:rsidRPr="00000000">
        <w:rPr>
          <w:rtl w:val="0"/>
        </w:rPr>
      </w:r>
    </w:p>
    <w:tbl>
      <w:tblPr>
        <w:tblStyle w:val="Table15"/>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tcMar>
              <w:top w:w="80.0" w:type="dxa"/>
              <w:bottom w:w="80.0" w:type="dxa"/>
            </w:tcMar>
            <w:vAlign w:val="center"/>
          </w:tcPr>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 documentado/cotizado (sin cargador)</w:t>
            </w:r>
          </w:p>
        </w:tc>
        <w:tc>
          <w:tcPr>
            <w:tcMar>
              <w:top w:w="80.0" w:type="dxa"/>
              <w:bottom w:w="80.0" w:type="dxa"/>
            </w:tcMar>
            <w:vAlign w:val="center"/>
          </w:tcPr>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103,60</w:t>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de la Unidad I</w:t>
            </w:r>
          </w:p>
        </w:tc>
        <w:tc>
          <w:tcPr>
            <w:shd w:fill="f7f9fc" w:val="clear"/>
            <w:tcMar>
              <w:top w:w="80.0" w:type="dxa"/>
              <w:bottom w:w="80.0" w:type="dxa"/>
            </w:tcMar>
            <w:vAlign w:val="center"/>
          </w:tcPr>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0,00</w:t>
            </w:r>
          </w:p>
        </w:tc>
      </w:tr>
      <w:tr>
        <w:trPr>
          <w:cantSplit w:val="0"/>
          <w:tblHeader w:val="0"/>
        </w:trPr>
        <w:tc>
          <w:tcPr>
            <w:tcMar>
              <w:top w:w="80.0" w:type="dxa"/>
              <w:bottom w:w="80.0" w:type="dxa"/>
            </w:tcMar>
            <w:vAlign w:val="center"/>
          </w:tcPr>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Recursos humanos - desembolso directo de la Unidad I</w:t>
            </w:r>
          </w:p>
        </w:tc>
        <w:tc>
          <w:tcPr>
            <w:tcMar>
              <w:top w:w="80.0" w:type="dxa"/>
              <w:bottom w:w="80.0" w:type="dxa"/>
            </w:tcMar>
            <w:vAlign w:val="center"/>
          </w:tcPr>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0,00</w:t>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PROVISIONAL DE LA UNIDAD I</w:t>
            </w:r>
          </w:p>
        </w:tc>
        <w:tc>
          <w:tcPr>
            <w:shd w:fill="f7f9fc" w:val="clear"/>
            <w:tcMar>
              <w:top w:w="80.0" w:type="dxa"/>
              <w:bottom w:w="80.0" w:type="dxa"/>
            </w:tcMar>
            <w:vAlign w:val="center"/>
          </w:tcPr>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103,60.</w:t>
            </w:r>
          </w:p>
        </w:tc>
      </w:tr>
    </w:tbl>
    <w:p w:rsidR="00000000" w:rsidDel="00000000" w:rsidP="00000000" w:rsidRDefault="00000000" w:rsidRPr="00000000" w14:paraId="000001CF">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pStyle w:val="Heading1"/>
        <w:rPr/>
      </w:pPr>
      <w:r w:rsidDel="00000000" w:rsidR="00000000" w:rsidRPr="00000000">
        <w:rPr>
          <w:rtl w:val="0"/>
        </w:rPr>
        <w:t xml:space="preserve">10. CALIFICACIÓN DE INNOVACIÓN</w:t>
      </w:r>
      <w:r w:rsidDel="00000000" w:rsidR="00000000" w:rsidRPr="00000000">
        <w:rPr>
          <w:rtl w:val="0"/>
        </w:rPr>
      </w:r>
    </w:p>
    <w:p w:rsidR="00000000" w:rsidDel="00000000" w:rsidP="00000000" w:rsidRDefault="00000000" w:rsidRPr="00000000" w14:paraId="000001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 Tabla 16 compara la tecnología actual y la tecnología propuesta mediante 11 características, superando el mínimo de 8 solicitado para la calificación de innovación.</w:t>
      </w: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Tabla 16. Calificación de Innovación (mínimo 8 características)</w:t>
      </w:r>
      <w:r w:rsidDel="00000000" w:rsidR="00000000" w:rsidRPr="00000000">
        <w:rPr>
          <w:rtl w:val="0"/>
        </w:rPr>
      </w:r>
    </w:p>
    <w:tbl>
      <w:tblPr>
        <w:tblStyle w:val="Table1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7f9fc" w:val="clear"/>
            <w:tcMar>
              <w:top w:w="80.0" w:type="dxa"/>
              <w:bottom w:w="80.0" w:type="dxa"/>
            </w:tcMar>
            <w:vAlign w:val="center"/>
          </w:tcPr>
          <w:p w:rsidR="00000000" w:rsidDel="00000000" w:rsidP="00000000" w:rsidRDefault="00000000" w:rsidRPr="00000000" w14:paraId="000001D3">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5"/>
                <w:szCs w:val="15"/>
                <w:rtl w:val="0"/>
              </w:rPr>
              <w:t xml:space="preserve">Características de la</w:t>
              <w:br w:type="textWrapping"/>
              <w:t xml:space="preserve">Tecnología Actual</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1D4">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5"/>
                <w:szCs w:val="15"/>
                <w:rtl w:val="0"/>
              </w:rPr>
              <w:t xml:space="preserve">Características de la</w:t>
              <w:br w:type="textWrapping"/>
              <w:t xml:space="preserve">Tecnología Propuesta</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1D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5"/>
                <w:szCs w:val="15"/>
                <w:rtl w:val="0"/>
              </w:rPr>
              <w:t xml:space="preserve">Diferencia /</w:t>
              <w:br w:type="textWrapping"/>
              <w:t xml:space="preserve">Observación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D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Detección basada principalmente en olfato y revisión manual ocasional.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Sensores MQ-2 y MQ-5 realizan medición continua del ambiente.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La detección pasa de ser subjetiva y dependiente de la presencia humana a una vigilancia electrónica continua.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D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No existe alerta automática; la familia reacciona cuando percibe el olor del gas.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LED rojo y buzzer activo se accionan cuando la lectura supera el umbral configurado.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Se incorpora una advertencia visual y sonora. </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D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Monitoreo puntual, únicamente cuando una persona está presente.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Lectura periódica de MQ-2 y MQ-5 mediante el ESP32.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Permite vigilancia continua durante el funcionamiento del prototipo.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D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No existe emisión ni registro electrónico de lecturas.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El ESP32 emite las lecturas por el Monitor Serie para observación y registro.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Genera datos objetivos que pueden conservarse para análisis posterior.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E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La respuesta es reactiva: se actúa una vez percibida la fuga.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La arquitectura deja prevista una futura evaluación de modelos de regresión sobre los datos obtenidos.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Existe posibilidad de evolucionar hacia anticipación predictiva; no se presenta como funcionalidad implementada en esta unidad.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E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No existe análisis automático de comportamientos anómalos.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Se contempla como ampliación futura el uso de un autoencoder.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La detección de anomalías es una proyección tecnológica y no cuenta con resultados en la Unidad I.</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E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Como referencia comercial, un detector EXTECH EZ40 se ofrece en Perú a S/ 596,47.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El hardware documentado/cotizado del prototipo suma S/ 103,60 sin considerar todavía un cargador adicional.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La propuesta utiliza componentes de bajo costo y software libre.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E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Tecnología doméstica genérica, sin ajuste electrónico específico a la vivienda.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El prototipo establece una línea base propia del ambiente y utiliza alertas locales sin depender de Internet.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Se adapta mejor a escenarios con conectividad limitada.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E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La instalación actual no dispone de conectividad para monitoreo.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El ESP32 incorpora WiFi, reservado para una posible ampliación posterior.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Permite una futura conexión a un panel remoto sin considerarla funcionalidad implementada actualmente.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F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La familia utiliza principalmente un único criterio: percepción del olor.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Se emplean dos sensores complementarios, MQ-2 y MQ-5.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Se dispone de dos respuestas de sensado para comparar el comportamiento ante gases combustibles.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F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La respuesta ante la emergencia corresponde a la familia, distribuidor y Bomberos.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Los mismos actores mantienen la responsabilidad de respuesta.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No se reemplaza la actuación humana; el sistema únicamente busca adelantar el aviso.</w:t>
            </w:r>
            <w:r w:rsidDel="00000000" w:rsidR="00000000" w:rsidRPr="00000000">
              <w:rPr>
                <w:rtl w:val="0"/>
              </w:rPr>
            </w:r>
          </w:p>
        </w:tc>
      </w:tr>
    </w:tbl>
    <w:p w:rsidR="00000000" w:rsidDel="00000000" w:rsidP="00000000" w:rsidRDefault="00000000" w:rsidRPr="00000000" w14:paraId="000001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datos de los sensores son aproximados, tomados de las hojas técnicas de los fabricantes; deben confirmarse con la hoja técnica del módulo que se compre.</w:t>
      </w:r>
    </w:p>
    <w:p w:rsidR="00000000" w:rsidDel="00000000" w:rsidP="00000000" w:rsidRDefault="00000000" w:rsidRPr="00000000" w14:paraId="000001F8">
      <w:pPr>
        <w:pStyle w:val="Heading1"/>
        <w:rPr/>
      </w:pPr>
      <w:bookmarkStart w:colFirst="0" w:colLast="0" w:name="_heading=h.vg7bq17d7nxy" w:id="0"/>
      <w:bookmarkEnd w:id="0"/>
      <w:r w:rsidDel="00000000" w:rsidR="00000000" w:rsidRPr="00000000">
        <w:rPr>
          <w:rtl w:val="0"/>
        </w:rPr>
        <w:t xml:space="preserve">11. Comparativa de Sensores y/o elementos electrónicos utilizados</w:t>
      </w:r>
    </w:p>
    <w:tbl>
      <w:tblPr>
        <w:tblStyle w:val="Table1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7f9fc" w:val="clear"/>
            <w:tcMar>
              <w:top w:w="80.0" w:type="dxa"/>
              <w:bottom w:w="80.0" w:type="dxa"/>
            </w:tcMar>
            <w:vAlign w:val="center"/>
          </w:tcPr>
          <w:p w:rsidR="00000000" w:rsidDel="00000000" w:rsidP="00000000" w:rsidRDefault="00000000" w:rsidRPr="00000000" w14:paraId="000001F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4"/>
                <w:szCs w:val="14"/>
                <w:rtl w:val="0"/>
              </w:rPr>
              <w:t xml:space="preserve">Nombre del</w:t>
              <w:br w:type="textWrapping"/>
              <w:t xml:space="preserve">Sensor</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1FA">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4"/>
                <w:szCs w:val="14"/>
                <w:rtl w:val="0"/>
              </w:rPr>
              <w:t xml:space="preserve">Característica 1</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1FB">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4"/>
                <w:szCs w:val="14"/>
                <w:rtl w:val="0"/>
              </w:rPr>
              <w:t xml:space="preserve">Característica 2</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1FC">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4"/>
                <w:szCs w:val="14"/>
                <w:rtl w:val="0"/>
              </w:rPr>
              <w:t xml:space="preserve">Ventajas</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1F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4"/>
                <w:szCs w:val="14"/>
                <w:rtl w:val="0"/>
              </w:rPr>
              <w:t xml:space="preserve">Calificación o</w:t>
              <w:br w:type="textWrapping"/>
              <w:t xml:space="preserve">Comentario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F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MQ-2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Gases detectados: GLP, propano, isobutano, metano, hidrógeno, alcohol y humo.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Rango aproximado: 200 a 10 000 ppm según el gas; alimentación del calentador: 5 V.</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Ventajas: económico y sensible a varios gases combustibles/humo. Limitaciones: baja selectividad y sensibilidad a condiciones ambientales.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Complementario (4/5). Se utiliza junto con MQ-5.</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0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MQ-5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Gases detectados: GLP, gas natural y gas de ciudad.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Rango aproximado: 200 a 10 000 ppm; alimentación: 5 V.</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Ventajas: mayor orientación a GLP y gas natural. Limitaciones: requiere precalentamiento y sus lecturas dependen del ambiente.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Principal (5/5). Seleccionado para el prototipo.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0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MQ-6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Gases detectados: GLP, isobutano y propano.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Rango aproximado: 200 a 10 000 ppm; alimentación: 5 V.</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Ventajas: buena orientación a GLP. Limitaciones: menor cobertura de otros gases que MQ-2.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Alternativa al MQ-5 (4/5). No utilizado en el prototipo.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0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MQ-135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Gases detectados: amoníaco, óxidos de nitrógeno, alcohol, benceno, humo y otros contaminantes del aire.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Rango aproximado: 10 a 1 000 ppm según el gas; alimentación: 5 V.</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Ventajas: útil para calidad del aire. Limitaciones: no está orientado específicamente a GLP.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Descartado (2/5) para el objetivo principal del proyecto.</w:t>
            </w:r>
            <w:r w:rsidDel="00000000" w:rsidR="00000000" w:rsidRPr="00000000">
              <w:rPr>
                <w:rtl w:val="0"/>
              </w:rPr>
            </w:r>
          </w:p>
        </w:tc>
      </w:tr>
    </w:tbl>
    <w:p w:rsidR="00000000" w:rsidDel="00000000" w:rsidP="00000000" w:rsidRDefault="00000000" w:rsidRPr="00000000" w14:paraId="00000212">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Sobre los sensores de doble función: el MQ-2 responde a varios gases combustibles y al humo, mientras que el MQ-5 está más orientado a GLP y gas natural. En el prototipo se utilizan ambos para comparar su respuesta relativa frente a cambios del ambiente. Esta combinación no implica por sí sola una identificación química selectiva del gas; cualquier criterio de diferenciación deberá validarse posteriormente.</w:t>
      </w:r>
    </w:p>
    <w:p w:rsidR="00000000" w:rsidDel="00000000" w:rsidP="00000000" w:rsidRDefault="00000000" w:rsidRPr="00000000" w14:paraId="0000021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Tabla 17. Comparativa de microcontroladores</w:t>
      </w:r>
      <w:r w:rsidDel="00000000" w:rsidR="00000000" w:rsidRPr="00000000">
        <w:rPr>
          <w:rtl w:val="0"/>
        </w:rPr>
      </w:r>
    </w:p>
    <w:tbl>
      <w:tblPr>
        <w:tblStyle w:val="Table18"/>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tcMar>
              <w:top w:w="80.0" w:type="dxa"/>
              <w:bottom w:w="80.0" w:type="dxa"/>
            </w:tcMar>
            <w:vAlign w:val="center"/>
          </w:tcPr>
          <w:p w:rsidR="00000000" w:rsidDel="00000000" w:rsidP="00000000" w:rsidRDefault="00000000" w:rsidRPr="00000000" w14:paraId="000002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ESP32-WROOM-32. Lógica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V. ADC: 12 bits, varios canales disponibles. Conectividad: WiFi y Bluetooth. Velocidad: doble núcleo a 240 MHz. Costo real del equipo: S/ 35,00 según boleta de Naylamp Mechatronics del 21/09/2026. Calificación: elegido (5/5); permite leer los dos sensores analógicos y dispone de WiFi para una ampliación futura.</w:t>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2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Arduino Uno. Lógica</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V. ADC: 10 bits, 6 canales. Conectividad: sin WiFi integrado. Velocidad: 16 MHz. Precio de referencia consultado: S/ 50,00. Calificación: descartado (3/5); para conectividad inalámbrica requiere hardware adicional.</w:t>
            </w:r>
          </w:p>
        </w:tc>
      </w:tr>
      <w:tr>
        <w:trPr>
          <w:cantSplit w:val="0"/>
          <w:tblHeader w:val="0"/>
        </w:trPr>
        <w:tc>
          <w:tcPr>
            <w:tcMar>
              <w:top w:w="80.0" w:type="dxa"/>
              <w:bottom w:w="80.0" w:type="dxa"/>
            </w:tcMar>
            <w:vAlign w:val="center"/>
          </w:tcPr>
          <w:p w:rsidR="00000000" w:rsidDel="00000000" w:rsidP="00000000" w:rsidRDefault="00000000" w:rsidRPr="00000000" w14:paraId="000002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ESP8266 (NodeMCU). Lógica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V. ADC: 10 bits, un solo canal analógico. Conectividad: WiFi. Velocidad: 80 MHz. Precio de referencia consultado: S/ 19,00. Calificación: descartado (2/5); un único ADC dificulta leer MQ-2 y MQ-5 simultáneamente sin hardware adicional.</w:t>
            </w:r>
          </w:p>
        </w:tc>
      </w:tr>
    </w:tbl>
    <w:p w:rsidR="00000000" w:rsidDel="00000000" w:rsidP="00000000" w:rsidRDefault="00000000" w:rsidRPr="00000000" w14:paraId="0000021B">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Tabla 18. Comparativa de elementos de alerta y protección</w:t>
      </w:r>
      <w:r w:rsidDel="00000000" w:rsidR="00000000" w:rsidRPr="00000000">
        <w:rPr>
          <w:rtl w:val="0"/>
        </w:rPr>
      </w:r>
    </w:p>
    <w:tbl>
      <w:tblPr>
        <w:tblStyle w:val="Table19"/>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tcMar>
              <w:top w:w="80.0" w:type="dxa"/>
              <w:bottom w:w="80.0" w:type="dxa"/>
            </w:tcMar>
            <w:vAlign w:val="center"/>
          </w:tcPr>
          <w:p w:rsidR="00000000" w:rsidDel="00000000" w:rsidP="00000000" w:rsidRDefault="00000000" w:rsidRPr="00000000" w14:paraId="0000021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Buzzer activo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incluye oscilador interno y suena al aplicar tensión. Uso: alerta sonora. Elegido: es simple y no requiere generar el tono por programa.</w:t>
            </w:r>
            <w:r w:rsidDel="00000000" w:rsidR="00000000" w:rsidRPr="00000000">
              <w:rPr>
                <w:rtl w:val="0"/>
              </w:rPr>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21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Buzzer pasivo</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22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requiere una señal de tono (PWM). Uso: ninguno. Descartado: mayor complejidad de programación para el equipo.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2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LED rojo y verde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indicadores visuales con resistencia de 220 Ω. Uso: estado normal (verde) y alerta (rojo). Elegidos: bajo costo.</w:t>
            </w:r>
            <w:r w:rsidDel="00000000" w:rsidR="00000000" w:rsidRPr="00000000">
              <w:rPr>
                <w:rtl w:val="0"/>
              </w:rPr>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22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Divisor resistivo 10 kΩ / 20 kΩ</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2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reduce 5 V a unos 3,3 V. Uso: proteger el ADC del ESP32. Necesario en cada salida AO.</w:t>
            </w:r>
            <w:r w:rsidDel="00000000" w:rsidR="00000000" w:rsidRPr="00000000">
              <w:rPr>
                <w:rtl w:val="0"/>
              </w:rPr>
            </w:r>
          </w:p>
        </w:tc>
      </w:tr>
    </w:tbl>
    <w:p w:rsidR="00000000" w:rsidDel="00000000" w:rsidP="00000000" w:rsidRDefault="00000000" w:rsidRPr="00000000" w14:paraId="00000225">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REFERENCIAS BIBLIOGRÁFICAS (APA 7)</w:t>
      </w:r>
    </w:p>
    <w:p w:rsidR="00000000" w:rsidDel="00000000" w:rsidP="00000000" w:rsidRDefault="00000000" w:rsidRPr="00000000" w14:paraId="00000227">
      <w:pPr>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Agencia Andina. (2020, 20 de febrero). Aumentan en 20% emergencias por fuga de gas en el 2020 [Video]. Andina. [https://andina.pe/agencia/noticia-aumentan-20-emergencias-fuga-gas-el-2020-video-785740.aspx](https://andina.pe/agencia/noticia-aumentan-20-emergencias-fuga-gas-el-2020-video-785740.aspx)</w:t>
      </w:r>
    </w:p>
    <w:p w:rsidR="00000000" w:rsidDel="00000000" w:rsidP="00000000" w:rsidRDefault="00000000" w:rsidRPr="00000000" w14:paraId="00000228">
      <w:pPr>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Agencia Andina. (s. f.). ¿Quieres conocer el ABC de un balón de gas seguro? Andina. [https://andina.pe/agencia/noticia-quieres-conocer-abc-un-balon-gas-seguro-748637.aspx](https://andina.pe/agencia/noticia-quieres-conocer-abc-un-balon-gas-seguro-748637.aspx)</w:t>
      </w:r>
    </w:p>
    <w:p w:rsidR="00000000" w:rsidDel="00000000" w:rsidP="00000000" w:rsidRDefault="00000000" w:rsidRPr="00000000" w14:paraId="00000229">
      <w:pPr>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Aranda Cosme, R., &amp; Yupanqui Pizan, B. W. (2019). Diseño e implementación de un sistema de medición del nivel de consumo de gas para un balón de uso doméstico [Tesis de grado, Universidad César Vallejo]. Repositorio Institucional UCV. https://hdl.handle.net/20.500.12692/74117</w:t>
      </w:r>
    </w:p>
    <w:p w:rsidR="00000000" w:rsidDel="00000000" w:rsidP="00000000" w:rsidRDefault="00000000" w:rsidRPr="00000000" w14:paraId="0000022A">
      <w:pPr>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Bueno Vera, A., Luis Ortiz, G., &amp; Taquía Gutiérrez, J. A. (2022). Influencia de la posición del sensor MQ-6 y el tiempo transcurrido en la detección de concentración de GLP en una fuga doméstica. Ingeniería Industrial, (43), 117–136. [https://doi.org/10.26439/ing.ind2022.n43.6112](https://doi.org/10.26439/ing.ind2022.n43.6112)</w:t>
      </w:r>
    </w:p>
    <w:p w:rsidR="00000000" w:rsidDel="00000000" w:rsidP="00000000" w:rsidRDefault="00000000" w:rsidRPr="00000000" w14:paraId="0000022B">
      <w:pPr>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Coqueco Medina, Y. S. (2023). Diseño e implementación de un prototipo de detección de fuga de gas natural, de uso doméstico [Proyecto aplicado, Universidad Nacional Abierta y a Distancia]. Repositorio UNAD. [https://repository.unad.edu.co/handle/10596/58016](https://repository.unad.edu.co/handle/10596/58016)</w:t>
      </w:r>
    </w:p>
    <w:p w:rsidR="00000000" w:rsidDel="00000000" w:rsidP="00000000" w:rsidRDefault="00000000" w:rsidRPr="00000000" w14:paraId="0000022C">
      <w:pPr>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Cordova Zevallos, M. A., &amp; Tuñoque De La Cruz, C. A. (2025). Dispositivo IOT para la prevención de incendios en viviendas [Tesis de licenciatura, Universidad de Lima]. Repositorio Institucional Universidad de Lima. [https://hdl.handle.net/20.500.12724/23690](https://hdl.handle.net/20.500.12724/23690)</w:t>
      </w:r>
    </w:p>
    <w:p w:rsidR="00000000" w:rsidDel="00000000" w:rsidP="00000000" w:rsidRDefault="00000000" w:rsidRPr="00000000" w14:paraId="0000022D">
      <w:pPr>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Cuerpo General de Bomberos Voluntarios del Perú. (s. f.). Estadísticas del CGBVP. Recuperado el 21 de septiembre de 2026, de https://portal.bomberosperu.gob.pe/estadisticas/</w:t>
      </w:r>
    </w:p>
    <w:p w:rsidR="00000000" w:rsidDel="00000000" w:rsidP="00000000" w:rsidRDefault="00000000" w:rsidRPr="00000000" w14:paraId="0000022E">
      <w:pPr>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Cámara de Comercio de Lima. (2025). Tenencia de bienes duraderos en el hogar, según área de residencia 2024 [Presentación con datos de la ENAHO, INEI]. [https://camaralimaplugin.arbitrajeccl.com.pe/wp-content/uploads/2025/09/Bienes-Duraderos-pdf.pdf](https://camaralimaplugin.arbitrajeccl.com.pe/wp-content/uploads/2025/09/Bienes-Duraderos-pdf.pdf)</w:t>
      </w:r>
    </w:p>
    <w:p w:rsidR="00000000" w:rsidDel="00000000" w:rsidP="00000000" w:rsidRDefault="00000000" w:rsidRPr="00000000" w14:paraId="0000022F">
      <w:pPr>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Dashdondov, K., Kim, M.-H., &amp; Jo, K. (2023). NDAMA: A novel deep autoencoder and multivariate analysis approach for IoT-based methane gas leakage detection. IEEE Access, 11, 140740–140751. [https://doi.org/10.1109/ACCESS.2023.3340240](https://doi.org/10.1109/ACCESS.2023.3340240)</w:t>
      </w:r>
    </w:p>
    <w:p w:rsidR="00000000" w:rsidDel="00000000" w:rsidP="00000000" w:rsidRDefault="00000000" w:rsidRPr="00000000" w14:paraId="00000230">
      <w:pPr>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Diario Correo. (2026). Más de 1,300 emergencias por fugas de gas en 2026: cómo prevenir accidentes en casa. [https://diariocorreo.pe/peru/mas-de-1300-emergencias-por-fugas-de-gas-en-2026-como-prevenir-accidentes-en-casa-noticia/](https://diariocorreo.pe/peru/mas-de-1300-emergencias-por-fugas-de-gas-en-2026-como-prevenir-accidentes-en-casa-noticia/)</w:t>
      </w:r>
    </w:p>
    <w:p w:rsidR="00000000" w:rsidDel="00000000" w:rsidP="00000000" w:rsidRDefault="00000000" w:rsidRPr="00000000" w14:paraId="00000231">
      <w:pPr>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DigitalOcean. (2026). Droplet pricing. https://www.digitalocean.com/pricing/droplets</w:t>
      </w:r>
    </w:p>
    <w:p w:rsidR="00000000" w:rsidDel="00000000" w:rsidP="00000000" w:rsidRDefault="00000000" w:rsidRPr="00000000" w14:paraId="00000232">
      <w:pPr>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Electronics Peru Store. (s. f.). Arduino Uno R3. https://www.electronicsperu.com/product/arduino-uno-r3/</w:t>
      </w:r>
    </w:p>
    <w:p w:rsidR="00000000" w:rsidDel="00000000" w:rsidP="00000000" w:rsidRDefault="00000000" w:rsidRPr="00000000" w14:paraId="00000233">
      <w:pPr>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Flores Pacheco, C. O., &amp; Wesember Gomez, Z. M. (2024). Sistema online para alertar riesgos de fuga de gas licuado de petróleo en espacios cerrados Iquitos 2023 [Tesis, Universidad Nacional de la Amazonía Peruana]. Repositorio Institucional UNAP. [https://repositorio.unapiquitos.edu.pe/handle/20.500.12737/10812](https://repositorio.unapiquitos.edu.pe/handle/20.500.12737/10812)</w:t>
      </w:r>
    </w:p>
    <w:p w:rsidR="00000000" w:rsidDel="00000000" w:rsidP="00000000" w:rsidRDefault="00000000" w:rsidRPr="00000000" w14:paraId="00000234">
      <w:pPr>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Flores Quispe, C. E., &amp; Tafur Mendez, W. (2025). Sistema de monitoreo con conexión a la nube para la medición de la calidad del aire en la Urbanización de Primavera del distrito de Trujillo - 2024 [Tesis de grado, Universidad Privada Antenor Orrego]. Repositorio UPAO. https://hdl.handle.net/20.500.12759/56132</w:t>
      </w:r>
    </w:p>
    <w:p w:rsidR="00000000" w:rsidDel="00000000" w:rsidP="00000000" w:rsidRDefault="00000000" w:rsidRPr="00000000" w14:paraId="00000235">
      <w:pPr>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(2024). INEI: 88.6% de hogares peruanos cocinan con gas. [https://gestion.pe/economia/inei-886-de-hogares-peruanos-cocinan-con-gas-enaho-noticia/](https://gestion.pe/economia/inei-886-de-hogares-peruanos-cocinan-con-gas-enaho-noticia/)</w:t>
      </w:r>
    </w:p>
    <w:p w:rsidR="00000000" w:rsidDel="00000000" w:rsidP="00000000" w:rsidRDefault="00000000" w:rsidRPr="00000000" w14:paraId="00000236">
      <w:pPr>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Gobierno del Perú. (s. f.). Combustibles: uso seguro del balón de gas [Folleto]. [https://cdn.www.gob.pe/uploads/document/file/3590344/COMBUSTIBLES%20%28005%29.pdf.pdf](https://cdn.www.gob.pe/uploads/document/file/3590344/COMBUSTIBLES%20%28005%29.pdf.pdf)</w:t>
      </w:r>
    </w:p>
    <w:p w:rsidR="00000000" w:rsidDel="00000000" w:rsidP="00000000" w:rsidRDefault="00000000" w:rsidRPr="00000000" w14:paraId="00000237">
      <w:pPr>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Hernández Carmona, E. Y., &amp; Méndez Cueva, G. F. (2020). Programación de un medidor de calidad de aire usando el principio de dispersión láser para el monitoreo de la concentración de material particulado PM10 y PM2.5 [Tesis de grado, Universidad César Vallejo]. Repositorio Institucional UCV. https://hdl.handle.net/20.500.12692/61179</w:t>
      </w:r>
    </w:p>
    <w:p w:rsidR="00000000" w:rsidDel="00000000" w:rsidP="00000000" w:rsidRDefault="00000000" w:rsidRPr="00000000" w14:paraId="00000238">
      <w:pPr>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Instituto Nacional de Estadística e Informática. (2018). Perú: Características de las viviendas particulares y los hogares. Acceso a servicios básicos. [https://www.inei.gob.pe/media/MenuRecursivo/publicaciones_digitales/Est/Lib1538/parte03.pdf](https://www.inei.gob.pe/media/MenuRecursivo/publicaciones_digitales/Est/Lib1538/parte03.pdf)</w:t>
      </w:r>
    </w:p>
    <w:p w:rsidR="00000000" w:rsidDel="00000000" w:rsidP="00000000" w:rsidRDefault="00000000" w:rsidRPr="00000000" w14:paraId="00000239">
      <w:pPr>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Instituto Nacional de Estadística e Informática. (2024). Nota de prensa n.º 095-2024-INEI. [https://m.inei.gob.pe/media/MenuRecursivo/noticias/nota-de-prensa-n-095-2024-inei.pdf](https://m.inei.gob.pe/media/MenuRecursivo/noticias/nota-de-prensa-n-095-2024-inei.pdf)</w:t>
      </w:r>
    </w:p>
    <w:p w:rsidR="00000000" w:rsidDel="00000000" w:rsidP="00000000" w:rsidRDefault="00000000" w:rsidRPr="00000000" w14:paraId="0000023A">
      <w:pPr>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República. (2021, 21 de octubre). Osinergmin: casi mil fugas de gas al mes en el Perú desde que se inició la pandemia. [https://larepublica.pe/economia/2021/10/21/osinergmin-casi-mil-fugas-de-gas-al-mes-en-el-peru-desde-que-se-inicio-la-pandemia](https://larepublica.pe/economia/2021/10/21/osinergmin-casi-mil-fugas-de-gas-al-mes-en-el-peru-desde-que-se-inicio-la-pandemia)</w:t>
      </w:r>
    </w:p>
    <w:p w:rsidR="00000000" w:rsidDel="00000000" w:rsidP="00000000" w:rsidRDefault="00000000" w:rsidRPr="00000000" w14:paraId="0000023B">
      <w:pPr>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Mashuri, M. A. I., Kholifah, B., &amp; El Hakim, F. A. (2025). Designing an Internet of Things-based fire and gas leak detection system. Journal of Applied Informatics Research, 1(1), 1–9. [https://doi.org/10.26740/jair.v1i1.44451](https://doi.org/10.26740/jair.v1i1.44451)</w:t>
      </w:r>
    </w:p>
    <w:p w:rsidR="00000000" w:rsidDel="00000000" w:rsidP="00000000" w:rsidRDefault="00000000" w:rsidRPr="00000000" w14:paraId="0000023C">
      <w:pPr>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Mastertronic. (s. f.). ESP8266 LOLIN NodeMCU Wemos LOLIN ESP8266 y CH340. https://mastertronicventas.com/</w:t>
      </w:r>
    </w:p>
    <w:p w:rsidR="00000000" w:rsidDel="00000000" w:rsidP="00000000" w:rsidRDefault="00000000" w:rsidRPr="00000000" w14:paraId="0000023D">
      <w:pPr>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MTLAB. (s. f.). Módulo sensor de gas MQ5 / MQ-5, GLP, gas natural, butano. https://mtlab.pe/shop/page/30/</w:t>
      </w:r>
    </w:p>
    <w:p w:rsidR="00000000" w:rsidDel="00000000" w:rsidP="00000000" w:rsidRDefault="00000000" w:rsidRPr="00000000" w14:paraId="0000023E">
      <w:pPr>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Naylamp Mechatronics S.A.C. (s. f.). Cable Jumper Dupont hembra a macho 20 cm / 20 und. https://naylampmechatronics.com/cables/81-cable-jumper-dupont-hembra-a-macho-20cm-20und.html</w:t>
      </w:r>
    </w:p>
    <w:p w:rsidR="00000000" w:rsidDel="00000000" w:rsidP="00000000" w:rsidRDefault="00000000" w:rsidRPr="00000000" w14:paraId="0000023F">
      <w:pPr>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Naylamp Mechatronics S.A.C. (s. f.). Cable Jumper Dupont macho a macho 20 cm / 20 und. https://naylampmechatronics.com/cables/29-cable-jumper-dupont-macho-a-macho-20cm-20und.html</w:t>
      </w:r>
    </w:p>
    <w:p w:rsidR="00000000" w:rsidDel="00000000" w:rsidP="00000000" w:rsidRDefault="00000000" w:rsidRPr="00000000" w14:paraId="00000240">
      <w:pPr>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Naylamp Mechatronics S.A.C. (s. f.). Contacto y tienda Trujillo. https://naylampmechatronics.com/contacto</w:t>
      </w:r>
    </w:p>
    <w:p w:rsidR="00000000" w:rsidDel="00000000" w:rsidP="00000000" w:rsidRDefault="00000000" w:rsidRPr="00000000" w14:paraId="00000241">
      <w:pPr>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Naylamp Mechatronics S.A.C. (s. f.). Protoboard 830. https://naylampmechatronics.com/protoboard/222-protoboard-830.html</w:t>
      </w:r>
    </w:p>
    <w:p w:rsidR="00000000" w:rsidDel="00000000" w:rsidP="00000000" w:rsidRDefault="00000000" w:rsidRPr="00000000" w14:paraId="00000242">
      <w:pPr>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Pajares Galvez, C. A., &amp; Rumay Gil, M. A. (2023). Implementación de un sistema informático para el monitoreo de concentración de gases contaminantes del aire para el distrito de Víctor Larco Herrera, Trujillo 2023 [Tesis de grado, Universidad Privada del Norte]. Repositorio Institucional UPN. https://hdl.handle.net/11537/35435</w:t>
      </w:r>
    </w:p>
    <w:p w:rsidR="00000000" w:rsidDel="00000000" w:rsidP="00000000" w:rsidRDefault="00000000" w:rsidRPr="00000000" w14:paraId="00000243">
      <w:pPr>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Perú21. (2026). Bomberos atendieron más de 55 mil emergencias en 2025: Incidentes médicos y accidentes vehiculares lideran estadísticas. [https://peru21.pe/peru/bomberos-55-mil-emergencias-2025-incendios-lideran-las-estadisticas/](https://peru21.pe/peru/bomberos-55-mil-emergencias-2025-incendios-lideran-las-estadisticas/)</w:t>
      </w:r>
    </w:p>
    <w:p w:rsidR="00000000" w:rsidDel="00000000" w:rsidP="00000000" w:rsidRDefault="00000000" w:rsidRPr="00000000" w14:paraId="00000244">
      <w:pPr>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PROMELSA. (s. f.). Detector de gas GNV/GLP/metano/etano/propano/butano EXTECH EZ40. https://www.promelsa.com.pe/1008760-detector-de-gas-gnv-glp-metano-etano-propano-butano.html</w:t>
      </w:r>
    </w:p>
    <w:p w:rsidR="00000000" w:rsidDel="00000000" w:rsidP="00000000" w:rsidRDefault="00000000" w:rsidRPr="00000000" w14:paraId="00000245">
      <w:pPr>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Pérez Palomino, X. I. (2019). Prototipo de un sistema de vigilancia y detección de fuga de gas, utilizando Raspberry Pi y Arduino para mejorar la seguridad en viviendas unifamiliares [Tesis de licenciatura, Universidad Católica de Santa María]. Repositorio UCSM. [https://repositorio.ucsm.edu.pe/handle/20.500.12920/9657](https://repositorio.ucsm.edu.pe/handle/20.500.12920/9657)</w:t>
      </w:r>
    </w:p>
    <w:p w:rsidR="00000000" w:rsidDel="00000000" w:rsidP="00000000" w:rsidRDefault="00000000" w:rsidRPr="00000000" w14:paraId="00000246">
      <w:pPr>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Tesla Electronic E.I.R.L. (s. f.). Resistencias y potenciómetros. https://www.teslaelectronic.com.pe/resistencias-y-potenciometros/</w:t>
      </w:r>
    </w:p>
    <w:p w:rsidR="00000000" w:rsidDel="00000000" w:rsidP="00000000" w:rsidRDefault="00000000" w:rsidRPr="00000000" w14:paraId="00000247">
      <w:pPr>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Tezcan, M. K., &amp; Kursun, U. (2025). A hybrid LSTM-autoencoder-isolation forest deep learning model for smart gas leakage alert system. UNITECH – Selected Papers, 2025. Technical University of Gabrovo. [https://unitech.tugab.bg/images/2025/dokladi/5-Automation%20and%20Robotics/p182_s5_u189_id454-SP.pdf](https://unitech.tugab.bg/images/2025/dokladi/5-Automation%20and%20Robotics/p182_s5_u189_id454-SP.pdf)</w:t>
      </w:r>
    </w:p>
    <w:p w:rsidR="00000000" w:rsidDel="00000000" w:rsidP="00000000" w:rsidRDefault="00000000" w:rsidRPr="00000000" w14:paraId="00000248">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 ANEXOS</w:t>
      </w:r>
    </w:p>
    <w:p w:rsidR="00000000" w:rsidDel="00000000" w:rsidP="00000000" w:rsidRDefault="00000000" w:rsidRPr="00000000" w14:paraId="00000249">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ANEXO A. FOTOGRAFÍAS EN EL LUGAR DE LA ESCENA</w:t>
      </w:r>
      <w:r w:rsidDel="00000000" w:rsidR="00000000" w:rsidRPr="00000000">
        <w:rPr>
          <w:rtl w:val="0"/>
        </w:rPr>
      </w:r>
    </w:p>
    <w:p w:rsidR="00000000" w:rsidDel="00000000" w:rsidP="00000000" w:rsidRDefault="00000000" w:rsidRPr="00000000" w14:paraId="0000024A">
      <w:pPr>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rtl w:val="0"/>
        </w:rPr>
        <w:t xml:space="preserve">Foto A1: Prototipo de detección de GLP basado en ESP32, MQ-2 y MQ-5 armado y funcionando. </w:t>
      </w:r>
      <w:r w:rsidDel="00000000" w:rsidR="00000000" w:rsidRPr="00000000">
        <w:rPr>
          <w:rtl w:val="0"/>
        </w:rPr>
      </w:r>
    </w:p>
    <w:p w:rsidR="00000000" w:rsidDel="00000000" w:rsidP="00000000" w:rsidRDefault="00000000" w:rsidRPr="00000000" w14:paraId="0000024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Pr>
        <w:drawing>
          <wp:inline distB="114300" distT="114300" distL="114300" distR="114300">
            <wp:extent cx="2505075" cy="364807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505075"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ANEXO B. ESTADÍSTICAS DEL PROBLEMA</w:t>
      </w:r>
    </w:p>
    <w:p w:rsidR="00000000" w:rsidDel="00000000" w:rsidP="00000000" w:rsidRDefault="00000000" w:rsidRPr="00000000" w14:paraId="0000024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Tabla 19. Estadísticas del problema (indicador | valor | fuente)</w:t>
      </w:r>
      <w:r w:rsidDel="00000000" w:rsidR="00000000" w:rsidRPr="00000000">
        <w:rPr>
          <w:rtl w:val="0"/>
        </w:rPr>
      </w:r>
    </w:p>
    <w:tbl>
      <w:tblPr>
        <w:tblStyle w:val="Table20"/>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tcMar>
              <w:top w:w="80.0" w:type="dxa"/>
              <w:bottom w:w="80.0" w:type="dxa"/>
            </w:tcMar>
            <w:vAlign w:val="center"/>
          </w:tcPr>
          <w:p w:rsidR="00000000" w:rsidDel="00000000" w:rsidP="00000000" w:rsidRDefault="00000000" w:rsidRPr="00000000" w14:paraId="0000024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Hogares que cocinan con gas, nacional, III trimestre 2024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88,6 %</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Gestión (2024), con datos del INEI</w:t>
            </w:r>
            <w:r w:rsidDel="00000000" w:rsidR="00000000" w:rsidRPr="00000000">
              <w:rPr>
                <w:rtl w:val="0"/>
              </w:rPr>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25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Hogares que cocinan con gas, área urbana</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2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93,9 %</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25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Gestión (2024)</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5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Hogares que cocinan con gas, área rural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68,1 % (aumento de 4,6 puntos porcentuales)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Gestión (2024)</w:t>
            </w:r>
            <w:r w:rsidDel="00000000" w:rsidR="00000000" w:rsidRPr="00000000">
              <w:rPr>
                <w:rtl w:val="0"/>
              </w:rPr>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25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Hogares que cocinan con leña</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25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6,1 %</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25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Gestión (2024)</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Hogares de La Libertad con cocina a gas, 2024 (82,3 % en 2015)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89,7 %</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Cámara de Comercio de Lima (2025)</w:t>
            </w:r>
            <w:r w:rsidDel="00000000" w:rsidR="00000000" w:rsidRPr="00000000">
              <w:rPr>
                <w:rtl w:val="0"/>
              </w:rPr>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25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Fugas de gas atendidas por Bomberos, marzo 2020 a julio 2021</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25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13 486</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25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La República (2021)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6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Fugas de gas licuado atendidas, 2025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4 249 (350 a 400 por mes)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Perú21 (2026)</w:t>
            </w:r>
            <w:r w:rsidDel="00000000" w:rsidR="00000000" w:rsidRPr="00000000">
              <w:rPr>
                <w:rtl w:val="0"/>
              </w:rPr>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26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Emergencias por fugas de gas en 2026 (primeros meses)</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26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1 320</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26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Diario Correo (2026)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6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Población rural con electricidad por red pública, I trimestre 2024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83,2 %</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INEI (2024)</w:t>
            </w:r>
            <w:r w:rsidDel="00000000" w:rsidR="00000000" w:rsidRPr="00000000">
              <w:rPr>
                <w:rtl w:val="0"/>
              </w:rPr>
            </w:r>
          </w:p>
        </w:tc>
      </w:tr>
      <w:tr>
        <w:trPr>
          <w:cantSplit w:val="0"/>
          <w:tblHeader w:val="0"/>
        </w:trPr>
        <w:tc>
          <w:tcPr/>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Fugas de gas licuado registradas para la III Comandancia Departamental La Libertad</w:t>
            </w:r>
          </w:p>
        </w:tc>
        <w:tc>
          <w:tcPr/>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w:t>
            </w:r>
          </w:p>
        </w:tc>
        <w:tc>
          <w:tcPr/>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CGBVP, portal estadístico consultado el 21/09/2026; la vista pública no muestra de forma explícita el periodo de corte</w:t>
            </w:r>
          </w:p>
        </w:tc>
      </w:tr>
    </w:tbl>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Nota sobre la cifra regional. </w:t>
      </w:r>
      <w:r w:rsidDel="00000000" w:rsidR="00000000" w:rsidRPr="00000000">
        <w:rPr>
          <w:rFonts w:ascii="Times New Roman" w:cs="Times New Roman" w:eastAsia="Times New Roman" w:hAnsi="Times New Roman"/>
          <w:rtl w:val="0"/>
        </w:rPr>
        <w:t xml:space="preserve">La tabla pública del CGBVP muestra 101 atenciones por fuga de gas licuado para la III Comandancia Departamental La Libertad, dentro de 2 010 emergencias. Como el periodo de corte no aparece explícito en la vista consultada, no se presenta como total anual cerrado.</w:t>
      </w:r>
    </w:p>
    <w:p w:rsidR="00000000" w:rsidDel="00000000" w:rsidP="00000000" w:rsidRDefault="00000000" w:rsidRPr="00000000" w14:paraId="0000026D">
      <w:pPr>
        <w:pStyle w:val="Heading2"/>
        <w:rPr>
          <w:rFonts w:ascii="Times New Roman" w:cs="Times New Roman" w:eastAsia="Times New Roman" w:hAnsi="Times New Roman"/>
          <w:color w:val="000000"/>
        </w:rPr>
      </w:pPr>
      <w:bookmarkStart w:colFirst="0" w:colLast="0" w:name="_heading=h.26g7il795blw" w:id="1"/>
      <w:bookmarkEnd w:id="1"/>
      <w:r w:rsidDel="00000000" w:rsidR="00000000" w:rsidRPr="00000000">
        <w:rPr>
          <w:rFonts w:ascii="Times New Roman" w:cs="Times New Roman" w:eastAsia="Times New Roman" w:hAnsi="Times New Roman"/>
          <w:color w:val="000000"/>
          <w:rtl w:val="0"/>
        </w:rPr>
        <w:t xml:space="preserve">ANEXO C. Boletas</w:t>
      </w:r>
    </w:p>
    <w:p w:rsidR="00000000" w:rsidDel="00000000" w:rsidP="00000000" w:rsidRDefault="00000000" w:rsidRPr="00000000" w14:paraId="0000026E">
      <w:pPr>
        <w:jc w:val="center"/>
        <w:rPr/>
      </w:pPr>
      <w:r w:rsidDel="00000000" w:rsidR="00000000" w:rsidRPr="00000000">
        <w:rPr/>
        <w:drawing>
          <wp:inline distB="114300" distT="114300" distL="114300" distR="114300">
            <wp:extent cx="2177657" cy="3862084"/>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177657" cy="3862084"/>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jc w:val="center"/>
        <w:rPr/>
      </w:pPr>
      <w:r w:rsidDel="00000000" w:rsidR="00000000" w:rsidRPr="00000000">
        <w:rPr/>
        <w:drawing>
          <wp:inline distB="114300" distT="114300" distL="114300" distR="114300">
            <wp:extent cx="4681538" cy="2663375"/>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681538" cy="2663375"/>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jc w:val="center"/>
        <w:rPr/>
      </w:pPr>
      <w:r w:rsidDel="00000000" w:rsidR="00000000" w:rsidRPr="00000000">
        <w:rPr>
          <w:rtl w:val="0"/>
        </w:rPr>
      </w:r>
    </w:p>
    <w:sectPr>
      <w:headerReference r:id="rId15"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120" w:before="200" w:lineRule="auto"/>
    </w:pPr>
    <w:rPr>
      <w:rFonts w:ascii="Arial" w:cs="Arial" w:eastAsia="Arial" w:hAnsi="Arial"/>
      <w:b w:val="1"/>
      <w:bCs w:val="1"/>
      <w:color w:val="2f5597"/>
      <w:sz w:val="24"/>
      <w:szCs w:val="24"/>
    </w:rPr>
  </w:style>
  <w:style w:type="paragraph" w:styleId="Heading3">
    <w:name w:val="heading 3"/>
    <w:basedOn w:val="Normal"/>
    <w:next w:val="Normal"/>
    <w:pPr>
      <w:keepNext w:val="1"/>
      <w:keepLines w:val="1"/>
      <w:spacing w:after="120" w:before="200" w:lineRule="auto"/>
    </w:pPr>
    <w:rPr>
      <w:rFonts w:ascii="Arial" w:cs="Arial" w:eastAsia="Arial" w:hAnsi="Arial"/>
      <w:b w:val="1"/>
      <w:bCs w:val="1"/>
      <w:color w:val="40404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20" w:before="200" w:line="240" w:lineRule="auto"/>
    </w:pPr>
    <w:rPr>
      <w:rFonts w:ascii="Arial" w:cs="Arial" w:eastAsia="Arial" w:hAnsi="Arial"/>
      <w:b w:val="1"/>
      <w:bCs w:val="1"/>
      <w:color w:val="17365d"/>
      <w:sz w:val="36"/>
      <w:szCs w:val="3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odeBlock" w:customStyle="1">
    <w:name w:val="Code Block"/>
    <w:pPr>
      <w:spacing w:after="0" w:line="240" w:lineRule="auto"/>
      <w:ind w:left="288"/>
    </w:pPr>
    <w:rPr>
      <w:rFonts w:ascii="Consolas" w:eastAsia="Consolas" w:hAnsi="Consolas"/>
      <w:sz w:val="1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oCyGREHdUa4/L8y7l1WkUuz1zQ==">CgMxLjAaHwoBMBIaChgICVIUChJ0YWJsZS5iNTR3aHVoMXUzN3MaHwoBMRIaChgICVIUChJ0YWJsZS4zem5qaXdlMnU0cjcaIwoBMhIeChwIB0IYCg9UaW1lcyBOZXcgUm9tYW4SBUNhcmRvGiMKATMSHgocCAdCGAoPVGltZXMgTmV3IFJvbWFuEgVDYXJkbzIOaC52ZzdicTE3ZDdueHkyDmguMjZnN2lsNzk1Ymx3OAByITE4V0pwSHNQekxLV1ZTLUlPNWZFNlpGa0tmemIyZElH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de trabajo - Universidad Nacional de Trujillo</dc:creator>
</cp:coreProperties>
</file>