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Organización Demo S.A.</w:t>
      </w:r>
    </w:p>
    <w:p>
      <w:pPr>
        <w:jc w:val="center"/>
      </w:pPr>
      <w:r>
        <w:rPr>
          <w:b/>
          <w:sz w:val="26"/>
        </w:rPr>
        <w:t>Reporte de Gestión y Cumplimiento SOC · 2026-09-22 a 2026-10-22</w:t>
      </w:r>
    </w:p>
    <w:p>
      <w:pPr>
        <w:jc w:val="center"/>
      </w:pPr>
      <w:r>
        <w:t>Periodo: 2026-09-22 13:17:50 UTC → 2026-10-22 13:17:50 UTC</w:t>
        <w:br/>
        <w:t>Generado: 2026-10-22 13:17:50 UTC · SOC-Lite v1.0.0</w:t>
        <w:br/>
        <w:t>Clasificación: Uso interno — Información de seguridad</w:t>
      </w:r>
    </w:p>
    <w:p>
      <w:r>
        <w:br w:type="page"/>
      </w:r>
    </w:p>
    <w:p>
      <w:pPr>
        <w:pStyle w:val="Heading1"/>
      </w:pPr>
      <w:r>
        <w:rPr>
          <w:color w:val="0F172A"/>
        </w:rPr>
        <w:t>1. Resumen ejecutivo</w:t>
      </w:r>
    </w:p>
    <w:p>
      <w:r>
        <w:t>En el periodo analizado se procesaron 5 alertas de seguridad, de las cuales 80.0% fueron triadas automáticamente por el motor de razonamiento LLM. El tiempo medio de triaje (MTTT) fue de 19.75 h (mediana 14.50 h, P95 44.40 h), con una tasa de falsos positivos de 25.0%. Se registraron 1 incidentes abiertos, 1 de ellos críticos. El porcentaje de reducción de ruido operativo (alertas descartadas sin intervención humana) alcanzó 40.0%.</w:t>
      </w:r>
    </w:p>
    <w:p>
      <w:pPr>
        <w:pStyle w:val="Heading2"/>
      </w:pPr>
      <w:r>
        <w:rPr>
          <w:color w:val="06B6D4"/>
        </w:rPr>
        <w:t>2. Indicadores clave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Valor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Objetivo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Cumple</w:t>
            </w:r>
          </w:p>
        </w:tc>
      </w:tr>
      <w:tr>
        <w:tc>
          <w:tcPr>
            <w:tcW w:type="dxa" w:w="2160"/>
          </w:tcPr>
          <w:p>
            <w:r>
              <w:t>Alertas procesadas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MTTT promedio</w:t>
            </w:r>
          </w:p>
        </w:tc>
        <w:tc>
          <w:tcPr>
            <w:tcW w:type="dxa" w:w="2160"/>
          </w:tcPr>
          <w:p>
            <w:r>
              <w:t>19.75 h</w:t>
            </w:r>
          </w:p>
        </w:tc>
        <w:tc>
          <w:tcPr>
            <w:tcW w:type="dxa" w:w="2160"/>
          </w:tcPr>
          <w:p>
            <w:r>
              <w:t>≤ 15 min (críticas)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Tasa de falsos positivos</w:t>
            </w:r>
          </w:p>
        </w:tc>
        <w:tc>
          <w:tcPr>
            <w:tcW w:type="dxa" w:w="2160"/>
          </w:tcPr>
          <w:p>
            <w:r>
              <w:t>25.0%</w:t>
            </w:r>
          </w:p>
        </w:tc>
        <w:tc>
          <w:tcPr>
            <w:tcW w:type="dxa" w:w="2160"/>
          </w:tcPr>
          <w:p>
            <w:r>
              <w:t>≤ 30%</w:t>
            </w:r>
          </w:p>
        </w:tc>
        <w:tc>
          <w:tcPr>
            <w:tcW w:type="dxa" w:w="2160"/>
          </w:tcPr>
          <w:p>
            <w:r>
              <w:t>sí</w:t>
            </w:r>
          </w:p>
        </w:tc>
      </w:tr>
      <w:tr>
        <w:tc>
          <w:tcPr>
            <w:tcW w:type="dxa" w:w="2160"/>
          </w:tcPr>
          <w:p>
            <w:r>
              <w:t>Automatización del triaje</w:t>
            </w:r>
          </w:p>
        </w:tc>
        <w:tc>
          <w:tcPr>
            <w:tcW w:type="dxa" w:w="2160"/>
          </w:tcPr>
          <w:p>
            <w:r>
              <w:t>80.0%</w:t>
            </w:r>
          </w:p>
        </w:tc>
        <w:tc>
          <w:tcPr>
            <w:tcW w:type="dxa" w:w="2160"/>
          </w:tcPr>
          <w:p>
            <w:r>
              <w:t>≥ 85%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Reducción de ruido</w:t>
            </w:r>
          </w:p>
        </w:tc>
        <w:tc>
          <w:tcPr>
            <w:tcW w:type="dxa" w:w="2160"/>
          </w:tcPr>
          <w:p>
            <w:r>
              <w:t>40.0%</w:t>
            </w:r>
          </w:p>
        </w:tc>
        <w:tc>
          <w:tcPr>
            <w:tcW w:type="dxa" w:w="2160"/>
          </w:tcPr>
          <w:p>
            <w:r>
              <w:t>≥ 70%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Incidentes abiertos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SLA vencido sin cerrar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/>
    <w:p>
      <w:pPr>
        <w:pStyle w:val="Heading2"/>
      </w:pPr>
      <w:r>
        <w:rPr>
          <w:color w:val="06B6D4"/>
        </w:rPr>
        <w:t>3. Distribución por severidad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Severidad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Alertas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% del total</w:t>
            </w:r>
          </w:p>
        </w:tc>
      </w:tr>
      <w:tr>
        <w:tc>
          <w:tcPr>
            <w:tcW w:type="dxa" w:w="2880"/>
          </w:tcPr>
          <w:p>
            <w:r>
              <w:t>Info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20.0%</w:t>
            </w:r>
          </w:p>
        </w:tc>
      </w:tr>
      <w:tr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0.0%</w:t>
            </w:r>
          </w:p>
        </w:tc>
      </w:tr>
      <w:tr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20.0%</w:t>
            </w:r>
          </w:p>
        </w:tc>
      </w:tr>
      <w:tr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20.0%</w:t>
            </w:r>
          </w:p>
        </w:tc>
      </w:tr>
      <w:tr>
        <w:tc>
          <w:tcPr>
            <w:tcW w:type="dxa" w:w="2880"/>
          </w:tcPr>
          <w:p>
            <w:r>
              <w:t>Critical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40.0%</w:t>
            </w:r>
          </w:p>
        </w:tc>
      </w:tr>
    </w:tbl>
    <w:p/>
    <w:p>
      <w:pPr>
        <w:pStyle w:val="Heading2"/>
      </w:pPr>
      <w:r>
        <w:rPr>
          <w:color w:val="06B6D4"/>
        </w:rPr>
        <w:t>4. Cumplimiento de SLA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Severidad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Objetivo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Cumplidas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Incumplidas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Cumplimiento</w:t>
            </w:r>
          </w:p>
        </w:tc>
      </w:tr>
      <w:tr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15 min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0.0%</w:t>
            </w:r>
          </w:p>
        </w:tc>
      </w:tr>
      <w:tr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60 min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0.0%</w:t>
            </w:r>
          </w:p>
        </w:tc>
      </w:tr>
      <w:tr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480 min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0.0%</w:t>
            </w:r>
          </w:p>
        </w:tc>
      </w:tr>
      <w:tr>
        <w:tc>
          <w:tcPr>
            <w:tcW w:type="dxa" w:w="1728"/>
          </w:tcPr>
          <w:p>
            <w:r>
              <w:t>Info</w:t>
            </w:r>
          </w:p>
        </w:tc>
        <w:tc>
          <w:tcPr>
            <w:tcW w:type="dxa" w:w="1728"/>
          </w:tcPr>
          <w:p>
            <w:r>
              <w:t>2880 min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0.0%</w:t>
            </w:r>
          </w:p>
        </w:tc>
      </w:tr>
    </w:tbl>
    <w:p/>
    <w:p>
      <w:pPr>
        <w:pStyle w:val="Heading2"/>
      </w:pPr>
      <w:r>
        <w:rPr>
          <w:color w:val="06B6D4"/>
        </w:rPr>
        <w:t>5. Top orígenes de alertas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IP origen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Alertas</w:t>
            </w:r>
          </w:p>
        </w:tc>
      </w:tr>
      <w:tr>
        <w:tc>
          <w:tcPr>
            <w:tcW w:type="dxa" w:w="4320"/>
          </w:tcPr>
          <w:p>
            <w:r>
              <w:t>10.0.4.21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10.0.4.55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10.0.9.31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198.51.100.77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203.0.113.44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Activo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Alertas</w:t>
            </w:r>
          </w:p>
        </w:tc>
      </w:tr>
      <w:tr>
        <w:tc>
          <w:tcPr>
            <w:tcW w:type="dxa" w:w="4320"/>
          </w:tcPr>
          <w:p>
            <w:r>
              <w:t>PLC-PLANTA1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SRV-DB01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SRV-DC01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SRV-WEB01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WKS-CONTAB01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Regla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Alertas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% FP</w:t>
            </w:r>
          </w:p>
        </w:tc>
      </w:tr>
      <w:tr>
        <w:tc>
          <w:tcPr>
            <w:tcW w:type="dxa" w:w="2880"/>
          </w:tcPr>
          <w:p>
            <w:r>
              <w:t>5501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100.0%</w:t>
            </w:r>
          </w:p>
        </w:tc>
      </w:tr>
      <w:tr>
        <w:tc>
          <w:tcPr>
            <w:tcW w:type="dxa" w:w="2880"/>
          </w:tcPr>
          <w:p>
            <w:r>
              <w:t>5710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0.0%</w:t>
            </w:r>
          </w:p>
        </w:tc>
      </w:tr>
      <w:tr>
        <w:tc>
          <w:tcPr>
            <w:tcW w:type="dxa" w:w="2880"/>
          </w:tcPr>
          <w:p>
            <w:r>
              <w:t>60106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0.0%</w:t>
            </w:r>
          </w:p>
        </w:tc>
      </w:tr>
      <w:tr>
        <w:tc>
          <w:tcPr>
            <w:tcW w:type="dxa" w:w="2880"/>
          </w:tcPr>
          <w:p>
            <w:r>
              <w:t>IDS-9001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0.0%</w:t>
            </w:r>
          </w:p>
        </w:tc>
      </w:tr>
    </w:tbl>
    <w:p/>
    <w:p>
      <w:pPr>
        <w:pStyle w:val="Heading2"/>
      </w:pPr>
      <w:r>
        <w:rPr>
          <w:color w:val="06B6D4"/>
        </w:rPr>
        <w:t>6. Incidentes del periodo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Código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Título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Severidad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Prioridad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Estado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MTTR</w:t>
            </w:r>
          </w:p>
        </w:tc>
      </w:tr>
      <w:tr>
        <w:tc>
          <w:tcPr>
            <w:tcW w:type="dxa" w:w="1440"/>
          </w:tcPr>
          <w:p>
            <w:r>
              <w:t>INC-2025-00088</w:t>
            </w:r>
          </w:p>
        </w:tc>
        <w:tc>
          <w:tcPr>
            <w:tcW w:type="dxa" w:w="1440"/>
          </w:tcPr>
          <w:p>
            <w:r>
              <w:t>Posible compromiso de PLC en red OT (baliza Cobalt Strike)</w:t>
            </w:r>
          </w:p>
        </w:tc>
        <w:tc>
          <w:tcPr>
            <w:tcW w:type="dxa" w:w="1440"/>
          </w:tcPr>
          <w:p>
            <w:r>
              <w:t>critical</w:t>
            </w:r>
          </w:p>
        </w:tc>
        <w:tc>
          <w:tcPr>
            <w:tcW w:type="dxa" w:w="1440"/>
          </w:tcPr>
          <w:p>
            <w:r>
              <w:t>p1</w:t>
            </w:r>
          </w:p>
        </w:tc>
        <w:tc>
          <w:tcPr>
            <w:tcW w:type="dxa" w:w="1440"/>
          </w:tcPr>
          <w:p>
            <w:r>
              <w:t>contained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</w:tbl>
    <w:p/>
    <w:p>
      <w:pPr>
        <w:pStyle w:val="Heading2"/>
      </w:pPr>
      <w:r>
        <w:rPr>
          <w:color w:val="06B6D4"/>
        </w:rPr>
        <w:t>7. Cumplimiento normativo (ISO/IEC 27001:2022 · NIST CSF 2.0)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Control implementado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ISO 27001:2022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NIST CSF 2.0</w:t>
            </w:r>
          </w:p>
        </w:tc>
      </w:tr>
      <w:tr>
        <w:tc>
          <w:tcPr>
            <w:tcW w:type="dxa" w:w="2880"/>
          </w:tcPr>
          <w:p>
            <w:r>
              <w:t>MTTT &lt; 15 min en alertas críticas</w:t>
            </w:r>
          </w:p>
        </w:tc>
        <w:tc>
          <w:tcPr>
            <w:tcW w:type="dxa" w:w="2880"/>
          </w:tcPr>
          <w:p>
            <w:r>
              <w:t>A.5.24 · A.8.16</w:t>
            </w:r>
          </w:p>
        </w:tc>
        <w:tc>
          <w:tcPr>
            <w:tcW w:type="dxa" w:w="2880"/>
          </w:tcPr>
          <w:p>
            <w:r>
              <w:t>DE.AE-04 · RS.AN-03</w:t>
            </w:r>
          </w:p>
        </w:tc>
      </w:tr>
      <w:tr>
        <w:tc>
          <w:tcPr>
            <w:tcW w:type="dxa" w:w="2880"/>
          </w:tcPr>
          <w:p>
            <w:r>
              <w:t>Bitácora de auditoría inmutable (usuario, fecha, hora, acción, módulo)</w:t>
            </w:r>
          </w:p>
        </w:tc>
        <w:tc>
          <w:tcPr>
            <w:tcW w:type="dxa" w:w="2880"/>
          </w:tcPr>
          <w:p>
            <w:r>
              <w:t>A.8.15 · A.5.28</w:t>
            </w:r>
          </w:p>
        </w:tc>
        <w:tc>
          <w:tcPr>
            <w:tcW w:type="dxa" w:w="2880"/>
          </w:tcPr>
          <w:p>
            <w:r>
              <w:t>DE.AE-03 · GV.OC-03</w:t>
            </w:r>
          </w:p>
        </w:tc>
      </w:tr>
      <w:tr>
        <w:tc>
          <w:tcPr>
            <w:tcW w:type="dxa" w:w="2880"/>
          </w:tcPr>
          <w:p>
            <w:r>
              <w:t>Triaje y clasificación automatizada de eventos</w:t>
            </w:r>
          </w:p>
        </w:tc>
        <w:tc>
          <w:tcPr>
            <w:tcW w:type="dxa" w:w="2880"/>
          </w:tcPr>
          <w:p>
            <w:r>
              <w:t>A.8.16 · A.5.25</w:t>
            </w:r>
          </w:p>
        </w:tc>
        <w:tc>
          <w:tcPr>
            <w:tcW w:type="dxa" w:w="2880"/>
          </w:tcPr>
          <w:p>
            <w:r>
              <w:t>DE.AE-02 · DE.AE-06</w:t>
            </w:r>
          </w:p>
        </w:tc>
      </w:tr>
      <w:tr>
        <w:tc>
          <w:tcPr>
            <w:tcW w:type="dxa" w:w="2880"/>
          </w:tcPr>
          <w:p>
            <w:r>
              <w:t>Registro y gestión de incidentes con trazabilidad</w:t>
            </w:r>
          </w:p>
        </w:tc>
        <w:tc>
          <w:tcPr>
            <w:tcW w:type="dxa" w:w="2880"/>
          </w:tcPr>
          <w:p>
            <w:r>
              <w:t>A.5.24 · A.5.26</w:t>
            </w:r>
          </w:p>
        </w:tc>
        <w:tc>
          <w:tcPr>
            <w:tcW w:type="dxa" w:w="2880"/>
          </w:tcPr>
          <w:p>
            <w:r>
              <w:t>RS.MA-01 · RS.AN-06</w:t>
            </w:r>
          </w:p>
        </w:tc>
      </w:tr>
      <w:tr>
        <w:tc>
          <w:tcPr>
            <w:tcW w:type="dxa" w:w="2880"/>
          </w:tcPr>
          <w:p>
            <w:r>
              <w:t>Enriquecimiento con inteligencia de amenazas</w:t>
            </w:r>
          </w:p>
        </w:tc>
        <w:tc>
          <w:tcPr>
            <w:tcW w:type="dxa" w:w="2880"/>
          </w:tcPr>
          <w:p>
            <w:r>
              <w:t>A.5.7 · A.8.16</w:t>
            </w:r>
          </w:p>
        </w:tc>
        <w:tc>
          <w:tcPr>
            <w:tcW w:type="dxa" w:w="2880"/>
          </w:tcPr>
          <w:p>
            <w:r>
              <w:t>ID.RA-05 · DE.AE-02</w:t>
            </w:r>
          </w:p>
        </w:tc>
      </w:tr>
      <w:tr>
        <w:tc>
          <w:tcPr>
            <w:tcW w:type="dxa" w:w="2880"/>
          </w:tcPr>
          <w:p>
            <w:r>
              <w:t>Control de acceso basado en roles (RBAC) y mínimo privilegio</w:t>
            </w:r>
          </w:p>
        </w:tc>
        <w:tc>
          <w:tcPr>
            <w:tcW w:type="dxa" w:w="2880"/>
          </w:tcPr>
          <w:p>
            <w:r>
              <w:t>A.5.15 · A.8.2 · A.8.3</w:t>
            </w:r>
          </w:p>
        </w:tc>
        <w:tc>
          <w:tcPr>
            <w:tcW w:type="dxa" w:w="2880"/>
          </w:tcPr>
          <w:p>
            <w:r>
              <w:t>PR.AA-01 · PR.AA-05</w:t>
            </w:r>
          </w:p>
        </w:tc>
      </w:tr>
      <w:tr>
        <w:tc>
          <w:tcPr>
            <w:tcW w:type="dxa" w:w="2880"/>
          </w:tcPr>
          <w:p>
            <w:r>
              <w:t>Retención y protección de registros (inmutabilidad + hash chain)</w:t>
            </w:r>
          </w:p>
        </w:tc>
        <w:tc>
          <w:tcPr>
            <w:tcW w:type="dxa" w:w="2880"/>
          </w:tcPr>
          <w:p>
            <w:r>
              <w:t>A.8.15 · A.8.10</w:t>
            </w:r>
          </w:p>
        </w:tc>
        <w:tc>
          <w:tcPr>
            <w:tcW w:type="dxa" w:w="2880"/>
          </w:tcPr>
          <w:p>
            <w:r>
              <w:t>PR.DS-01 · DE.AE-03</w:t>
            </w:r>
          </w:p>
        </w:tc>
      </w:tr>
    </w:tbl>
    <w:p/>
    <w:p>
      <w:pPr>
        <w:pStyle w:val="Heading2"/>
      </w:pPr>
      <w:r>
        <w:rPr>
          <w:color w:val="06B6D4"/>
        </w:rPr>
        <w:t>8. Carga del equipo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Analista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Usuario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Abiertas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Escaladas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Cerradas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MTTT promedio</w:t>
            </w:r>
          </w:p>
        </w:tc>
      </w:tr>
      <w:tr>
        <w:tc>
          <w:tcPr>
            <w:tcW w:type="dxa" w:w="1440"/>
          </w:tcPr>
          <w:p>
            <w:r>
              <w:t>Ana Torres</w:t>
            </w:r>
          </w:p>
        </w:tc>
        <w:tc>
          <w:tcPr>
            <w:tcW w:type="dxa" w:w="1440"/>
          </w:tcPr>
          <w:p>
            <w:r>
              <w:t>analista1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25.00 h</w:t>
            </w:r>
          </w:p>
        </w:tc>
      </w:tr>
      <w:tr>
        <w:tc>
          <w:tcPr>
            <w:tcW w:type="dxa" w:w="1440"/>
          </w:tcPr>
          <w:p>
            <w:r>
              <w:t>Luis Paredes</w:t>
            </w:r>
          </w:p>
        </w:tc>
        <w:tc>
          <w:tcPr>
            <w:tcW w:type="dxa" w:w="1440"/>
          </w:tcPr>
          <w:p>
            <w:r>
              <w:t>analista2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5.00 h</w:t>
            </w:r>
          </w:p>
        </w:tc>
      </w:tr>
      <w:tr>
        <w:tc>
          <w:tcPr>
            <w:tcW w:type="dxa" w:w="1440"/>
          </w:tcPr>
          <w:p>
            <w:r>
              <w:t>Administrador SOC-Lite</w:t>
            </w:r>
          </w:p>
        </w:tc>
        <w:tc>
          <w:tcPr>
            <w:tcW w:type="dxa" w:w="1440"/>
          </w:tcPr>
          <w:p>
            <w:r>
              <w:t>admin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Rodrigo Salinas (Jefe SOC)</w:t>
            </w:r>
          </w:p>
        </w:tc>
        <w:tc>
          <w:tcPr>
            <w:tcW w:type="dxa" w:w="1440"/>
          </w:tcPr>
          <w:p>
            <w:r>
              <w:t>soc_manager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24.00 h</w:t>
            </w:r>
          </w:p>
        </w:tc>
      </w:tr>
      <w:tr>
        <w:tc>
          <w:tcPr>
            <w:tcW w:type="dxa" w:w="1440"/>
          </w:tcPr>
          <w:p>
            <w:r>
              <w:t>Carla Méndez (Auditoría)</w:t>
            </w:r>
          </w:p>
        </w:tc>
        <w:tc>
          <w:tcPr>
            <w:tcW w:type="dxa" w:w="1440"/>
          </w:tcPr>
          <w:p>
            <w:r>
              <w:t>auditor1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Diego Fuentes (Dirección)</w:t>
            </w:r>
          </w:p>
        </w:tc>
        <w:tc>
          <w:tcPr>
            <w:tcW w:type="dxa" w:w="1440"/>
          </w:tcPr>
          <w:p>
            <w:r>
              <w:t>visor1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</w:tbl>
    <w:p/>
    <w:p>
      <w:pPr>
        <w:jc w:val="center"/>
      </w:pPr>
      <w:r>
        <w:rPr>
          <w:color w:val="64748B"/>
          <w:sz w:val="16"/>
        </w:rPr>
        <w:t>Generado automáticamente por SOC-Lite v1.0.0 · 2026-10-22 13:17:50 UTC · Documento de uso interno.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