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2940"/>
        <w:gridCol w:w="6825"/>
      </w:tblGrid>
      <w:tr>
        <w:trPr>
          <w:trHeight w:val="60" w:hRule="atLeast"/>
        </w:trPr>
        <w:tc>
          <w:tcPr>
            <w:tcW w:w="9765" w:type="dxa"/>
            <w:gridSpan w:val="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32"/>
                <w:szCs w:val="32"/>
              </w:rPr>
              <w:t>ООО "ИСКОЖ"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  <w:tc>
          <w:tcPr>
            <w:tcW w:w="777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</w:pP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ИНН: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5036070240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КПП: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503801001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ОГРН: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1065074011177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ОКПО: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17510403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Расчетный счет: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40702810700000121398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Банк: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АО "РАЙФФАЙЗЕНБАНК"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БИК: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044525700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Корр. счет: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30101810200000000700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Юридический адрес: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141206, Московская обл, Пушкинский р-н, Пушкино г, Кудринское ш, дом № 6, корпус Административный, офис 324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  <w:r>
              <w:rPr>
                <w:rFonts w:ascii="Arial" w:hAnsi="Arial"/>
                <w:sz w:val="24"/>
                <w:szCs w:val="24"/>
              </w:rPr>
              <w:t>Телефон: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8-496-539-93-37</w:t>
            </w: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jc w:val="left"/>
            </w:pP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</w:p>
        </w:tc>
      </w:tr>
      <w:tr>
        <w:trPr>
          <w:trHeight w:val="60" w:hRule="atLeast"/>
        </w:trPr>
        <w:tc>
          <w:tcPr>
            <w:tcW w:w="2940" w:type="dxa"/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</w:pPr>
            <w:r>
              <w:rPr>
                <w:rFonts w:ascii="Arial" w:hAnsi="Arial"/>
                <w:sz w:val="24"/>
                <w:szCs w:val="24"/>
              </w:rPr>
              <w:t>Генеральный директор:</w:t>
            </w:r>
          </w:p>
        </w:tc>
        <w:tc>
          <w:tcPr>
            <w:tcW w:w="682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</w:pPr>
            <w:r>
              <w:rPr>
                <w:rFonts w:ascii="Arial" w:hAnsi="Arial"/>
                <w:b/>
                <w:sz w:val="24"/>
                <w:szCs w:val="24"/>
              </w:rPr>
              <w:t>Зарудко Николай Евгеньевич</w:t>
            </w:r>
          </w:p>
        </w:tc>
      </w:tr>
    </w:tbl>
    <w:sectPr>
      <w:pgSz w:w="11907" w:h="16839" w:orient="portrait"/>
      <w:pgMar w:top="1134" w:right="1134" w:bottom="1134" w:left="1134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