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80"/>
        <w:jc w:val="center"/>
      </w:pPr>
      <w:r>
        <w:rPr>
          <w:rFonts w:ascii="Times New Roman" w:cs="Times New Roman" w:eastAsia="Times New Roman" w:hAnsi="Times New Roman"/>
          <w:b/>
          <w:bCs/>
          <w:color w:val="1F3B5C"/>
          <w:sz w:val="26"/>
          <w:szCs w:val="26"/>
        </w:rPr>
        <w:t xml:space="preserve">UNIVERSIDAD AUTÓNOMA LATINOAMERICANA — UNAULA</w:t>
      </w:r>
    </w:p>
    <w:p>
      <w:pPr>
        <w:spacing w:after="40"/>
        <w:jc w:val="center"/>
      </w:pPr>
      <w:r>
        <w:rPr>
          <w:rFonts w:ascii="Times New Roman" w:cs="Times New Roman" w:eastAsia="Times New Roman" w:hAnsi="Times New Roman"/>
          <w:sz w:val="24"/>
          <w:szCs w:val="24"/>
        </w:rPr>
        <w:t xml:space="preserve">Especialización en Analítica de Datos</w:t>
      </w:r>
    </w:p>
    <w:p>
      <w:pPr>
        <w:spacing w:after="560"/>
        <w:jc w:val="center"/>
      </w:pPr>
      <w:r>
        <w:rPr>
          <w:rFonts w:ascii="Times New Roman" w:cs="Times New Roman" w:eastAsia="Times New Roman" w:hAnsi="Times New Roman"/>
          <w:sz w:val="24"/>
          <w:szCs w:val="24"/>
        </w:rPr>
        <w:t xml:space="preserve">Módulo: Gerencia de Proyectos y Analítica</w:t>
      </w:r>
    </w:p>
    <w:p>
      <w:pPr>
        <w:pBdr>
          <w:top w:val="single" w:color="1F3B5C" w:sz="6" w:space="10"/>
          <w:bottom w:val="single" w:color="1F3B5C" w:sz="6" w:space="10"/>
        </w:pBdr>
        <w:spacing w:after="260"/>
        <w:jc w:val="center"/>
      </w:pPr>
      <w:r>
        <w:rPr>
          <w:rFonts w:ascii="Times New Roman" w:cs="Times New Roman" w:eastAsia="Times New Roman" w:hAnsi="Times New Roman"/>
          <w:b/>
          <w:bCs/>
          <w:color w:val="1F3B5C"/>
          <w:sz w:val="30"/>
          <w:szCs w:val="30"/>
        </w:rPr>
        <w:t xml:space="preserve">Documento definitivo: estructuración integral de un proyecto analítico</w:t>
      </w:r>
      <w:r>
        <w:br/>
        <w:t xml:space="preserve"/>
      </w:r>
      <w:r>
        <w:rPr>
          <w:rFonts w:ascii="Times New Roman" w:cs="Times New Roman" w:eastAsia="Times New Roman" w:hAnsi="Times New Roman"/>
          <w:b/>
          <w:bCs/>
          <w:color w:val="333333"/>
          <w:sz w:val="24"/>
          <w:szCs w:val="24"/>
        </w:rPr>
        <w:t xml:space="preserve">Sistema de análisis de percepción ciudadana de la población víctima de Quibdó</w:t>
      </w:r>
    </w:p>
    <w:p>
      <w:pPr>
        <w:spacing w:before="700"/>
      </w:pPr>
    </w:p>
    <w:p>
      <w:pPr>
        <w:spacing w:after="40"/>
        <w:jc w:val="center"/>
      </w:pPr>
      <w:r>
        <w:rPr>
          <w:rFonts w:ascii="Times New Roman" w:cs="Times New Roman" w:eastAsia="Times New Roman" w:hAnsi="Times New Roman"/>
          <w:b/>
          <w:bCs/>
          <w:sz w:val="22"/>
          <w:szCs w:val="22"/>
        </w:rPr>
        <w:t xml:space="preserve">Presentado por:</w:t>
      </w:r>
    </w:p>
    <w:p>
      <w:pPr>
        <w:spacing w:after="260"/>
        <w:jc w:val="center"/>
      </w:pPr>
      <w:r>
        <w:rPr>
          <w:rFonts w:ascii="Times New Roman" w:cs="Times New Roman" w:eastAsia="Times New Roman" w:hAnsi="Times New Roman"/>
          <w:sz w:val="22"/>
          <w:szCs w:val="22"/>
        </w:rPr>
        <w:t xml:space="preserve">Roberto</w:t>
      </w:r>
    </w:p>
    <w:p>
      <w:pPr>
        <w:spacing w:after="40"/>
        <w:jc w:val="center"/>
      </w:pPr>
      <w:r>
        <w:rPr>
          <w:rFonts w:ascii="Times New Roman" w:cs="Times New Roman" w:eastAsia="Times New Roman" w:hAnsi="Times New Roman"/>
          <w:sz w:val="22"/>
          <w:szCs w:val="22"/>
        </w:rPr>
        <w:t xml:space="preserve">Docente: Luis Felipe Ortiz-Clavijo</w:t>
      </w:r>
    </w:p>
    <w:p>
      <w:pPr>
        <w:spacing w:after="40"/>
        <w:jc w:val="center"/>
      </w:pPr>
      <w:r>
        <w:rPr>
          <w:rFonts w:ascii="Times New Roman" w:cs="Times New Roman" w:eastAsia="Times New Roman" w:hAnsi="Times New Roman"/>
          <w:sz w:val="22"/>
          <w:szCs w:val="22"/>
        </w:rPr>
        <w:t xml:space="preserve">Tipo de evaluación: Trabajo escrito</w:t>
      </w:r>
    </w:p>
    <w:p>
      <w:pPr>
        <w:jc w:val="center"/>
      </w:pPr>
      <w:r>
        <w:rPr>
          <w:rFonts w:ascii="Times New Roman" w:cs="Times New Roman" w:eastAsia="Times New Roman" w:hAnsi="Times New Roman"/>
          <w:sz w:val="22"/>
          <w:szCs w:val="22"/>
        </w:rPr>
        <w:t xml:space="preserve">Quibdó, Chocó · 2026</w:t>
      </w:r>
    </w:p>
    <w:p>
      <w:r>
        <w:br w:type="page"/>
      </w:r>
    </w:p>
    <w:p>
      <w:pPr>
        <w:pStyle w:val="Heading1"/>
        <w:spacing w:after="80" w:before="200"/>
      </w:pPr>
      <w:r>
        <w:rPr>
          <w:rFonts w:ascii="Times New Roman" w:cs="Times New Roman" w:eastAsia="Times New Roman" w:hAnsi="Times New Roman"/>
          <w:b/>
          <w:bCs/>
          <w:color w:val="1F3B5C"/>
          <w:sz w:val="26"/>
          <w:szCs w:val="26"/>
        </w:rPr>
        <w:t xml:space="preserve">1. Conceptos fundamentales de gestión</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Proyecto. </w:t>
      </w:r>
      <w:r>
        <w:rPr>
          <w:rFonts w:ascii="Times New Roman" w:cs="Times New Roman" w:eastAsia="Times New Roman" w:hAnsi="Times New Roman"/>
          <w:sz w:val="21"/>
          <w:szCs w:val="21"/>
        </w:rPr>
        <w:t xml:space="preserve">Esfuerzo temporal, con inicio y fin definidos, orientado a generar un entregable o resultado único mediante recursos finitos. Se distingue de la operación, que es continua y repetitiva.</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Programa. </w:t>
      </w:r>
      <w:r>
        <w:rPr>
          <w:rFonts w:ascii="Times New Roman" w:cs="Times New Roman" w:eastAsia="Times New Roman" w:hAnsi="Times New Roman"/>
          <w:sz w:val="21"/>
          <w:szCs w:val="21"/>
        </w:rPr>
        <w:t xml:space="preserve">Conjunto de proyectos y actividades afines gestionados de forma articulada para obtener sinergias y beneficios que no se lograrían gestionándolos por separado.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Portafolio. </w:t>
      </w:r>
      <w:r>
        <w:rPr>
          <w:rFonts w:ascii="Times New Roman" w:cs="Times New Roman" w:eastAsia="Times New Roman" w:hAnsi="Times New Roman"/>
          <w:sz w:val="21"/>
          <w:szCs w:val="21"/>
        </w:rPr>
        <w:t xml:space="preserve">Colección de proyectos, programas y operaciones priorizados estratégicamente para cumplir los objetivos globales de la organización.</w:t>
      </w:r>
    </w:p>
    <w:p>
      <w:pPr>
        <w:spacing w:after="90" w:line="258"/>
        <w:jc w:val="both"/>
      </w:pPr>
      <w:r>
        <w:rPr>
          <w:rFonts w:ascii="Times New Roman" w:cs="Times New Roman" w:eastAsia="Times New Roman" w:hAnsi="Times New Roman"/>
          <w:b/>
          <w:bCs/>
          <w:sz w:val="21"/>
          <w:szCs w:val="21"/>
        </w:rPr>
        <w:t xml:space="preserve">Ejemplo integrador (Alcaldía de Quibdó). </w:t>
      </w:r>
      <w:r>
        <w:rPr>
          <w:rFonts w:ascii="Times New Roman" w:cs="Times New Roman" w:eastAsia="Times New Roman" w:hAnsi="Times New Roman"/>
          <w:sz w:val="21"/>
          <w:szCs w:val="21"/>
        </w:rPr>
        <w:t xml:space="preserve">El portafolio es la Estrategia de Transformación Digital Municipal alineada al Plan de Desarrollo; el programa de modernización de la atención a víctimas coordina el tablero, la digitalización de PQRSD y la capacitación; y el proyecto concreto es el tablero de percepción ciudadana de la población víctima.</w:t>
      </w:r>
    </w:p>
    <w:tbl>
      <w:tblPr>
        <w:tblW w:type="dxa" w:w="9600"/>
        <w:tblBorders>
          <w:top w:val="single" w:color="1F3B5C" w:sz="4"/>
          <w:left w:val="single" w:color="BBBBBB" w:sz="2"/>
          <w:bottom w:val="single" w:color="1F3B5C" w:sz="4"/>
          <w:right w:val="single" w:color="BBBBBB" w:sz="2"/>
          <w:insideH w:val="single" w:color="CCCCCC" w:sz="2"/>
          <w:insideV w:val="single" w:color="CCCCCC" w:sz="2"/>
        </w:tblBorders>
      </w:tblPr>
      <w:tblGrid>
        <w:gridCol w:w="1600"/>
        <w:gridCol w:w="3600"/>
        <w:gridCol w:w="4400"/>
      </w:tblGrid>
      <w:tr>
        <w:tc>
          <w:tcPr>
            <w:tcW w:type="dxa" w:w="16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Nivel</w:t>
            </w:r>
          </w:p>
        </w:tc>
        <w:tc>
          <w:tcPr>
            <w:tcW w:type="dxa" w:w="36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Definición</w:t>
            </w:r>
          </w:p>
        </w:tc>
        <w:tc>
          <w:tcPr>
            <w:tcW w:type="dxa" w:w="44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Ejemplo en la Alcaldía de Quibdó</w:t>
            </w:r>
          </w:p>
        </w:tc>
      </w:tr>
      <w:tr>
        <w:tc>
          <w:tcPr>
            <w:tcW w:type="dxa" w:w="16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Proyecto</w:t>
            </w:r>
          </w:p>
        </w:tc>
        <w:tc>
          <w:tcPr>
            <w:tcW w:type="dxa" w:w="36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Esfuerzo temporal, con inicio y fin, para un resultado único con recursos finitos.</w:t>
            </w:r>
          </w:p>
        </w:tc>
        <w:tc>
          <w:tcPr>
            <w:tcW w:type="dxa" w:w="44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Construir el tablero de percepción ciudadana de la población víctima.</w:t>
            </w:r>
          </w:p>
        </w:tc>
      </w:tr>
      <w:tr>
        <w:tc>
          <w:tcPr>
            <w:tcW w:type="dxa" w:w="16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Programa</w:t>
            </w:r>
          </w:p>
        </w:tc>
        <w:tc>
          <w:tcPr>
            <w:tcW w:type="dxa" w:w="36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Conjunto de proyectos afines gestionados de forma articulada para lograr sinergias.</w:t>
            </w:r>
          </w:p>
        </w:tc>
        <w:tc>
          <w:tcPr>
            <w:tcW w:type="dxa" w:w="44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Modernización de la atención a víctimas: tablero + digitalización de PQRSD + capacitación.</w:t>
            </w:r>
          </w:p>
        </w:tc>
      </w:tr>
      <w:tr>
        <w:tc>
          <w:tcPr>
            <w:tcW w:type="dxa" w:w="16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Portafolio</w:t>
            </w:r>
          </w:p>
        </w:tc>
        <w:tc>
          <w:tcPr>
            <w:tcW w:type="dxa" w:w="36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Colección de programas y proyectos priorizados según la estrategia.</w:t>
            </w:r>
          </w:p>
        </w:tc>
        <w:tc>
          <w:tcPr>
            <w:tcW w:type="dxa" w:w="44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Transformación Digital Municipal, alineada al Plan de Desarrollo.</w:t>
            </w:r>
          </w:p>
        </w:tc>
      </w:tr>
    </w:tbl>
    <w:p>
      <w:pPr>
        <w:spacing w:after="60"/>
      </w:pPr>
    </w:p>
    <w:p>
      <w:pPr>
        <w:pStyle w:val="Heading1"/>
        <w:spacing w:after="80" w:before="200"/>
      </w:pPr>
      <w:r>
        <w:rPr>
          <w:rFonts w:ascii="Times New Roman" w:cs="Times New Roman" w:eastAsia="Times New Roman" w:hAnsi="Times New Roman"/>
          <w:b/>
          <w:bCs/>
          <w:color w:val="1F3B5C"/>
          <w:sz w:val="26"/>
          <w:szCs w:val="26"/>
        </w:rPr>
        <w:t xml:space="preserve">2. Caracterización del proyecto analítico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Contexto y problema. </w:t>
      </w:r>
      <w:r>
        <w:rPr>
          <w:rFonts w:ascii="Times New Roman" w:cs="Times New Roman" w:eastAsia="Times New Roman" w:hAnsi="Times New Roman"/>
          <w:sz w:val="21"/>
          <w:szCs w:val="21"/>
        </w:rPr>
        <w:t xml:space="preserve">La Oficina de Enlace de Víctimas de la Alcaldía de Quibdó (Chocó) recibe un alto volumen de PQRSD y solicitudes de la población víctima, pero carece de una lectura sistemática de los temas y del nivel de satisfacción; las decisiones se toman con información dispersa, manual y tardía.</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Pregunta analítica. </w:t>
      </w:r>
      <w:r>
        <w:rPr>
          <w:rFonts w:ascii="Times New Roman" w:cs="Times New Roman" w:eastAsia="Times New Roman" w:hAnsi="Times New Roman"/>
          <w:sz w:val="21"/>
          <w:szCs w:val="21"/>
        </w:rPr>
        <w:t xml:space="preserve">¿Cuáles son los temas predominantes y el sentimiento de la población víctima frente a la atención recibida, cómo evolucionan por período y por zona, y qué factores (tipo de trámite, tiempo de respuesta, dependencia) explican la insatisfacción?</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Interesados y resultado. </w:t>
      </w:r>
      <w:r>
        <w:rPr>
          <w:rFonts w:ascii="Times New Roman" w:cs="Times New Roman" w:eastAsia="Times New Roman" w:hAnsi="Times New Roman"/>
          <w:sz w:val="21"/>
          <w:szCs w:val="21"/>
        </w:rPr>
        <w:t xml:space="preserve">Coordinación de la Oficina, Secretaría de Gobierno, mesa municipal de participación de víctimas y la comunidad como beneficiaria. Se entrega un tablero analítico (Power BI o Looker Studio) alimentado por un clasificador de temas y un modelo de análisis de sentimiento con actualización periódica.</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Particularidades analíticas. </w:t>
      </w:r>
      <w:r>
        <w:rPr>
          <w:rFonts w:ascii="Times New Roman" w:cs="Times New Roman" w:eastAsia="Times New Roman" w:hAnsi="Times New Roman"/>
          <w:sz w:val="21"/>
          <w:szCs w:val="21"/>
        </w:rPr>
        <w:t xml:space="preserve">Alta incertidumbre técnica (¿habrá señal suficiente en el texto?); ciclo exploratorio e iterativo (CRISP-DM); dependencia crítica de datos (PQRSD, encuestas y registros de atención); naturaleza probabilística (salida estadística con falsos positivos y negativos); y realización de valor condicionada al uso efectivo del tablero por la Oficina.</w:t>
      </w:r>
    </w:p>
    <w:p>
      <w:pPr>
        <w:pStyle w:val="Heading1"/>
        <w:spacing w:after="80" w:before="200"/>
      </w:pPr>
      <w:r>
        <w:rPr>
          <w:rFonts w:ascii="Times New Roman" w:cs="Times New Roman" w:eastAsia="Times New Roman" w:hAnsi="Times New Roman"/>
          <w:b/>
          <w:bCs/>
          <w:color w:val="1F3B5C"/>
          <w:sz w:val="26"/>
          <w:szCs w:val="26"/>
        </w:rPr>
        <w:t xml:space="preserve">3. Enfoque metodológico híbrido</w:t>
      </w:r>
    </w:p>
    <w:p>
      <w:pPr>
        <w:spacing w:after="90" w:line="258"/>
        <w:jc w:val="both"/>
      </w:pPr>
      <w:r>
        <w:rPr>
          <w:rFonts w:ascii="Times New Roman" w:cs="Times New Roman" w:eastAsia="Times New Roman" w:hAnsi="Times New Roman"/>
          <w:sz w:val="21"/>
          <w:szCs w:val="21"/>
        </w:rPr>
        <w:t xml:space="preserve">Para cubrir el ciclo de vida completo se combinan cuatro enfoques, elegidos según las características del proyecto —equipo pequeño, incertidumbre alta y flujo irregular de datos—:</w:t>
      </w:r>
    </w:p>
    <w:tbl>
      <w:tblPr>
        <w:tblW w:type="dxa" w:w="9600"/>
        <w:tblBorders>
          <w:top w:val="single" w:color="1F3B5C" w:sz="4"/>
          <w:left w:val="single" w:color="BBBBBB" w:sz="2"/>
          <w:bottom w:val="single" w:color="1F3B5C" w:sz="4"/>
          <w:right w:val="single" w:color="BBBBBB" w:sz="2"/>
          <w:insideH w:val="single" w:color="CCCCCC" w:sz="2"/>
          <w:insideV w:val="single" w:color="CCCCCC" w:sz="2"/>
        </w:tblBorders>
      </w:tblPr>
      <w:tblGrid>
        <w:gridCol w:w="2100"/>
        <w:gridCol w:w="2200"/>
        <w:gridCol w:w="5300"/>
      </w:tblGrid>
      <w:tr>
        <w:tc>
          <w:tcPr>
            <w:tcW w:type="dxa" w:w="21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Nivel / Necesidad</w:t>
            </w:r>
          </w:p>
        </w:tc>
        <w:tc>
          <w:tcPr>
            <w:tcW w:type="dxa" w:w="22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Marco seleccionado</w:t>
            </w:r>
          </w:p>
        </w:tc>
        <w:tc>
          <w:tcPr>
            <w:tcW w:type="dxa" w:w="53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Aplicación en el proyecto</w:t>
            </w:r>
          </w:p>
        </w:tc>
      </w:tr>
      <w:tr>
        <w:tc>
          <w:tcPr>
            <w:tcW w:type="dxa" w:w="2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Gobernanza y control</w:t>
            </w:r>
          </w:p>
        </w:tc>
        <w:tc>
          <w:tcPr>
            <w:tcW w:type="dxa" w:w="22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ISO 21502</w:t>
            </w:r>
          </w:p>
        </w:tc>
        <w:tc>
          <w:tcPr>
            <w:tcW w:type="dxa" w:w="53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Acta de inicio, caso de valor público, mapeo de interesados, control de riesgos y cumplimiento de la Ley 1581 de 2012.</w:t>
            </w:r>
          </w:p>
        </w:tc>
      </w:tr>
      <w:tr>
        <w:tc>
          <w:tcPr>
            <w:tcW w:type="dxa" w:w="21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Gestión del trabajo</w:t>
            </w:r>
          </w:p>
        </w:tc>
        <w:tc>
          <w:tcPr>
            <w:tcW w:type="dxa" w:w="22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Kanban</w:t>
            </w:r>
          </w:p>
        </w:tc>
        <w:tc>
          <w:tcPr>
            <w:tcW w:type="dxa" w:w="53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Tablero de flujo continuo con límites WIP; backlog priorizado por impacto en la atención; revisiones periódicas con la Oficina.</w:t>
            </w:r>
          </w:p>
        </w:tc>
      </w:tr>
      <w:tr>
        <w:tc>
          <w:tcPr>
            <w:tcW w:type="dxa" w:w="2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Proceso científico</w:t>
            </w:r>
          </w:p>
        </w:tc>
        <w:tc>
          <w:tcPr>
            <w:tcW w:type="dxa" w:w="22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CRISP-DM</w:t>
            </w:r>
          </w:p>
        </w:tc>
        <w:tc>
          <w:tcPr>
            <w:tcW w:type="dxa" w:w="53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Comprensión del problema y de los datos, preparación de texto (NLP en español), modelado (clasificación + sentimiento) y validación.</w:t>
            </w:r>
          </w:p>
        </w:tc>
      </w:tr>
      <w:tr>
        <w:tc>
          <w:tcPr>
            <w:tcW w:type="dxa" w:w="21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Operación y despliegue</w:t>
            </w:r>
          </w:p>
        </w:tc>
        <w:tc>
          <w:tcPr>
            <w:tcW w:type="dxa" w:w="22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MLOps (mínimo)</w:t>
            </w:r>
          </w:p>
        </w:tc>
        <w:tc>
          <w:tcPr>
            <w:tcW w:type="dxa" w:w="53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Versionado (MLflow), publicación del tablero (Power BI / Looker Studio), monitoreo de deriva y reentrenamiento periódico.</w:t>
            </w:r>
          </w:p>
        </w:tc>
      </w:tr>
    </w:tbl>
    <w:p>
      <w:pPr>
        <w:spacing w:after="40"/>
      </w:pPr>
    </w:p>
    <w:p>
      <w:pPr>
        <w:spacing w:after="90" w:line="258"/>
        <w:jc w:val="both"/>
      </w:pPr>
      <w:r>
        <w:rPr>
          <w:rFonts w:ascii="Times New Roman" w:cs="Times New Roman" w:eastAsia="Times New Roman" w:hAnsi="Times New Roman"/>
          <w:b/>
          <w:bCs/>
          <w:sz w:val="21"/>
          <w:szCs w:val="21"/>
        </w:rPr>
        <w:t xml:space="preserve">Articulación. </w:t>
      </w:r>
      <w:r>
        <w:rPr>
          <w:rFonts w:ascii="Times New Roman" w:cs="Times New Roman" w:eastAsia="Times New Roman" w:hAnsi="Times New Roman"/>
          <w:sz w:val="21"/>
          <w:szCs w:val="21"/>
        </w:rPr>
        <w:t xml:space="preserve">ISO 21502 provee el paraguas de gobernanza (inicio, planeación, seguimiento y cierre); dentro de la ejecución, cada fase de CRISP-DM se descompone en tarjetas del tablero Kanban; y MLOps sostiene el modelo una vez desplegado. Kanban entrega incrementos cuando están listos (primero un análisis descriptivo, luego el clasificador y finalmente el sentimiento), en lugar de sprints de duración fija, lo que se adapta mejor a la llegada irregular de datos.</w:t>
      </w:r>
    </w:p>
    <w:p>
      <w:pPr>
        <w:pStyle w:val="Heading1"/>
        <w:spacing w:after="80" w:before="200"/>
      </w:pPr>
      <w:r>
        <w:rPr>
          <w:rFonts w:ascii="Times New Roman" w:cs="Times New Roman" w:eastAsia="Times New Roman" w:hAnsi="Times New Roman"/>
          <w:b/>
          <w:bCs/>
          <w:color w:val="1F3B5C"/>
          <w:sz w:val="26"/>
          <w:szCs w:val="26"/>
        </w:rPr>
        <w:t xml:space="preserve">4. Acta de constitución y caso de valor público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Patrocinador: </w:t>
      </w:r>
      <w:r>
        <w:rPr>
          <w:rFonts w:ascii="Times New Roman" w:cs="Times New Roman" w:eastAsia="Times New Roman" w:hAnsi="Times New Roman"/>
          <w:sz w:val="21"/>
          <w:szCs w:val="21"/>
        </w:rPr>
        <w:t xml:space="preserve">Secretaría de Gobierno / coordinación de la Oficina de Enlace de Víctimas.</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Gerente del proyecto: </w:t>
      </w:r>
      <w:r>
        <w:rPr>
          <w:rFonts w:ascii="Times New Roman" w:cs="Times New Roman" w:eastAsia="Times New Roman" w:hAnsi="Times New Roman"/>
          <w:sz w:val="21"/>
          <w:szCs w:val="21"/>
        </w:rPr>
        <w:t xml:space="preserve">líder de analítica de la Oficina (rol que puede recaer en un funcionario con apoyo técnico).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Caso de valor y finanzas. </w:t>
      </w:r>
      <w:r>
        <w:rPr>
          <w:rFonts w:ascii="Times New Roman" w:cs="Times New Roman" w:eastAsia="Times New Roman" w:hAnsi="Times New Roman"/>
          <w:sz w:val="21"/>
          <w:szCs w:val="21"/>
        </w:rPr>
        <w:t xml:space="preserve">Inversión estimada del orden de decenas de millones de pesos (talento técnico, licencias de BI y contingencia). El beneficio es principalmente valor público: reducir los tiempos de respuesta, priorizar los trámites más urgentes y disminuir quejas reiteradas. Como referencia de gestión, una reducción sostenida del tiempo de atención libera capacidad del equipo y mejora la satisfacción medible en las encuestas.</w:t>
      </w:r>
    </w:p>
    <w:p>
      <w:pPr>
        <w:pStyle w:val="Heading2"/>
        <w:spacing w:after="50" w:before="120"/>
      </w:pPr>
      <w:r>
        <w:rPr>
          <w:rFonts w:ascii="Times New Roman" w:cs="Times New Roman" w:eastAsia="Times New Roman" w:hAnsi="Times New Roman"/>
          <w:b/>
          <w:bCs/>
          <w:color w:val="2E5A88"/>
          <w:sz w:val="22"/>
          <w:szCs w:val="22"/>
        </w:rPr>
        <w:t xml:space="preserve">Criterios de éxito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Técnico: </w:t>
      </w:r>
      <w:r>
        <w:rPr>
          <w:rFonts w:ascii="Times New Roman" w:cs="Times New Roman" w:eastAsia="Times New Roman" w:hAnsi="Times New Roman"/>
          <w:sz w:val="21"/>
          <w:szCs w:val="21"/>
        </w:rPr>
        <w:t xml:space="preserve">clasificador de temas y análisis de sentimiento con F1 macro ≥ 0,75 en validación.</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De gestión pública: </w:t>
      </w:r>
      <w:r>
        <w:rPr>
          <w:rFonts w:ascii="Times New Roman" w:cs="Times New Roman" w:eastAsia="Times New Roman" w:hAnsi="Times New Roman"/>
          <w:sz w:val="21"/>
          <w:szCs w:val="21"/>
        </w:rPr>
        <w:t xml:space="preserve">uso del tablero en las reuniones de seguimiento de la Oficina y adopción por el personal en menos de un mes tras el despliegue.</w:t>
      </w:r>
    </w:p>
    <w:p>
      <w:pPr>
        <w:pStyle w:val="Heading1"/>
        <w:spacing w:after="80" w:before="200"/>
      </w:pPr>
      <w:r>
        <w:rPr>
          <w:rFonts w:ascii="Times New Roman" w:cs="Times New Roman" w:eastAsia="Times New Roman" w:hAnsi="Times New Roman"/>
          <w:b/>
          <w:bCs/>
          <w:color w:val="1F3B5C"/>
          <w:sz w:val="26"/>
          <w:szCs w:val="26"/>
        </w:rPr>
        <w:t xml:space="preserve">5. Estructura de desglose del trabajo (EDT/WBS) y cronograma</w:t>
      </w:r>
    </w:p>
    <w:p>
      <w:pPr>
        <w:spacing w:after="90" w:line="258"/>
        <w:jc w:val="both"/>
      </w:pPr>
      <w:r>
        <w:rPr>
          <w:rFonts w:ascii="Times New Roman" w:cs="Times New Roman" w:eastAsia="Times New Roman" w:hAnsi="Times New Roman"/>
          <w:sz w:val="21"/>
          <w:szCs w:val="21"/>
        </w:rPr>
        <w:t xml:space="preserve">El proyecto se descompone en cinco paquetes de trabajo en un horizonte de 14 semanas. La ruta crítica se señala con asterisco (*):</w:t>
      </w:r>
    </w:p>
    <w:tbl>
      <w:tblPr>
        <w:tblW w:type="dxa" w:w="9600"/>
        <w:tblBorders>
          <w:top w:val="single" w:color="1F3B5C" w:sz="4"/>
          <w:left w:val="single" w:color="BBBBBB" w:sz="2"/>
          <w:bottom w:val="single" w:color="1F3B5C" w:sz="4"/>
          <w:right w:val="single" w:color="BBBBBB" w:sz="2"/>
          <w:insideH w:val="single" w:color="CCCCCC" w:sz="2"/>
          <w:insideV w:val="single" w:color="CCCCCC" w:sz="2"/>
        </w:tblBorders>
      </w:tblPr>
      <w:tblGrid>
        <w:gridCol w:w="700"/>
        <w:gridCol w:w="3000"/>
        <w:gridCol w:w="4100"/>
        <w:gridCol w:w="1800"/>
      </w:tblGrid>
      <w:tr>
        <w:tc>
          <w:tcPr>
            <w:tcW w:type="dxa" w:w="7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N.º</w:t>
            </w:r>
          </w:p>
        </w:tc>
        <w:tc>
          <w:tcPr>
            <w:tcW w:type="dxa" w:w="30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Paquete de trabajo</w:t>
            </w:r>
          </w:p>
        </w:tc>
        <w:tc>
          <w:tcPr>
            <w:tcW w:type="dxa" w:w="41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Contenido principal</w:t>
            </w:r>
          </w:p>
        </w:tc>
        <w:tc>
          <w:tcPr>
            <w:tcW w:type="dxa" w:w="18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Semanas</w:t>
            </w:r>
          </w:p>
        </w:tc>
      </w:tr>
      <w:tr>
        <w:tc>
          <w:tcPr>
            <w:tcW w:type="dxa" w:w="7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1.0</w:t>
            </w:r>
          </w:p>
        </w:tc>
        <w:tc>
          <w:tcPr>
            <w:tcW w:type="dxa" w:w="30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Gestión e inicio</w:t>
            </w:r>
          </w:p>
        </w:tc>
        <w:tc>
          <w:tcPr>
            <w:tcW w:type="dxa" w:w="4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Acta de inicio, plan de interesados y definición de alcance.</w:t>
            </w:r>
          </w:p>
        </w:tc>
        <w:tc>
          <w:tcPr>
            <w:tcW w:type="dxa" w:w="18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Sem 1-2</w:t>
            </w:r>
          </w:p>
        </w:tc>
      </w:tr>
      <w:tr>
        <w:tc>
          <w:tcPr>
            <w:tcW w:type="dxa" w:w="7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2.0</w:t>
            </w:r>
          </w:p>
        </w:tc>
        <w:tc>
          <w:tcPr>
            <w:tcW w:type="dxa" w:w="30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Gobernanza y preparación de datos (*)</w:t>
            </w:r>
          </w:p>
        </w:tc>
        <w:tc>
          <w:tcPr>
            <w:tcW w:type="dxa" w:w="41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Recolección de PQRSD y encuestas, digitalización, validación de calidad y etiquetado inicial.</w:t>
            </w:r>
          </w:p>
        </w:tc>
        <w:tc>
          <w:tcPr>
            <w:tcW w:type="dxa" w:w="18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Sem 3-6</w:t>
            </w:r>
          </w:p>
        </w:tc>
      </w:tr>
      <w:tr>
        <w:tc>
          <w:tcPr>
            <w:tcW w:type="dxa" w:w="7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3.0</w:t>
            </w:r>
          </w:p>
        </w:tc>
        <w:tc>
          <w:tcPr>
            <w:tcW w:type="dxa" w:w="30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Experimentación y modelado (*)</w:t>
            </w:r>
          </w:p>
        </w:tc>
        <w:tc>
          <w:tcPr>
            <w:tcW w:type="dxa" w:w="4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Procesamiento de texto, entrenamiento de clasificador y análisis de sentimiento, validación.</w:t>
            </w:r>
          </w:p>
        </w:tc>
        <w:tc>
          <w:tcPr>
            <w:tcW w:type="dxa" w:w="18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Sem 7-9</w:t>
            </w:r>
          </w:p>
        </w:tc>
      </w:tr>
      <w:tr>
        <w:tc>
          <w:tcPr>
            <w:tcW w:type="dxa" w:w="7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4.0</w:t>
            </w:r>
          </w:p>
        </w:tc>
        <w:tc>
          <w:tcPr>
            <w:tcW w:type="dxa" w:w="30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Despliegue del tablero (*)</w:t>
            </w:r>
          </w:p>
        </w:tc>
        <w:tc>
          <w:tcPr>
            <w:tcW w:type="dxa" w:w="41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Construcción del tablero, integración de resultados y pruebas con usuarios.</w:t>
            </w:r>
          </w:p>
        </w:tc>
        <w:tc>
          <w:tcPr>
            <w:tcW w:type="dxa" w:w="18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Sem 10-11</w:t>
            </w:r>
          </w:p>
        </w:tc>
      </w:tr>
      <w:tr>
        <w:tc>
          <w:tcPr>
            <w:tcW w:type="dxa" w:w="7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5.0</w:t>
            </w:r>
          </w:p>
        </w:tc>
        <w:tc>
          <w:tcPr>
            <w:tcW w:type="dxa" w:w="30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Adopción, monitoreo y cierre</w:t>
            </w:r>
          </w:p>
        </w:tc>
        <w:tc>
          <w:tcPr>
            <w:tcW w:type="dxa" w:w="4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Capacitación del personal, piloto, monitoreo de deriva y transferencia.</w:t>
            </w:r>
          </w:p>
        </w:tc>
        <w:tc>
          <w:tcPr>
            <w:tcW w:type="dxa" w:w="18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Sem 12-14</w:t>
            </w:r>
          </w:p>
        </w:tc>
      </w:tr>
    </w:tbl>
    <w:p>
      <w:pPr>
        <w:spacing w:after="40"/>
      </w:pPr>
    </w:p>
    <w:p>
      <w:pPr>
        <w:spacing w:after="90" w:line="258"/>
        <w:jc w:val="both"/>
      </w:pPr>
      <w:r>
        <w:rPr>
          <w:rFonts w:ascii="Times New Roman" w:cs="Times New Roman" w:eastAsia="Times New Roman" w:hAnsi="Times New Roman"/>
          <w:b/>
          <w:bCs/>
          <w:sz w:val="21"/>
          <w:szCs w:val="21"/>
        </w:rPr>
        <w:t xml:space="preserve">Ruta crítica. </w:t>
      </w:r>
      <w:r>
        <w:rPr>
          <w:rFonts w:ascii="Times New Roman" w:cs="Times New Roman" w:eastAsia="Times New Roman" w:hAnsi="Times New Roman"/>
          <w:sz w:val="21"/>
          <w:szCs w:val="21"/>
        </w:rPr>
        <w:t xml:space="preserve">La secuencia 2.0 → 3.0 → 4.0 determina la duración total: sin datos de calidad no hay modelo, y sin modelo validado no hay tablero. Un retraso en la digitalización de PQRSD desplaza toda la entrega.</w:t>
      </w:r>
    </w:p>
    <w:p>
      <w:pPr>
        <w:pStyle w:val="Heading1"/>
        <w:spacing w:after="80" w:before="200"/>
      </w:pPr>
      <w:r>
        <w:rPr>
          <w:rFonts w:ascii="Times New Roman" w:cs="Times New Roman" w:eastAsia="Times New Roman" w:hAnsi="Times New Roman"/>
          <w:b/>
          <w:bCs/>
          <w:color w:val="1F3B5C"/>
          <w:sz w:val="26"/>
          <w:szCs w:val="26"/>
        </w:rPr>
        <w:t xml:space="preserve">6. Plan de recursos y matriz RACI</w:t>
      </w:r>
    </w:p>
    <w:p>
      <w:pPr>
        <w:spacing w:after="90" w:line="258"/>
        <w:jc w:val="both"/>
      </w:pPr>
      <w:r>
        <w:rPr>
          <w:rFonts w:ascii="Times New Roman" w:cs="Times New Roman" w:eastAsia="Times New Roman" w:hAnsi="Times New Roman"/>
          <w:b/>
          <w:bCs/>
          <w:sz w:val="21"/>
          <w:szCs w:val="21"/>
        </w:rPr>
        <w:t xml:space="preserve">Equipo. </w:t>
      </w:r>
      <w:r>
        <w:rPr>
          <w:rFonts w:ascii="Times New Roman" w:cs="Times New Roman" w:eastAsia="Times New Roman" w:hAnsi="Times New Roman"/>
          <w:sz w:val="21"/>
          <w:szCs w:val="21"/>
        </w:rPr>
        <w:t xml:space="preserve">Al ser un equipo pequeño, una misma persona puede asumir varios roles; lo esencial es que las responsabilidades estén cubiertas: patrocinador, gerente de proyecto, product owner (coordinador de la Oficina, que aporta también el conocimiento del dominio), científico de datos, ingeniero de datos y analista de BI.</w:t>
      </w:r>
    </w:p>
    <w:tbl>
      <w:tblPr>
        <w:tblW w:type="dxa" w:w="9596"/>
        <w:tblBorders>
          <w:top w:val="single" w:color="1F3B5C" w:sz="4"/>
          <w:left w:val="single" w:color="BBBBBB" w:sz="2"/>
          <w:bottom w:val="single" w:color="1F3B5C" w:sz="4"/>
          <w:right w:val="single" w:color="BBBBBB" w:sz="2"/>
          <w:insideH w:val="single" w:color="CCCCCC" w:sz="2"/>
          <w:insideV w:val="single" w:color="CCCCCC" w:sz="2"/>
        </w:tblBorders>
      </w:tblPr>
      <w:tblGrid>
        <w:gridCol w:w="2900"/>
        <w:gridCol w:w="1116"/>
        <w:gridCol w:w="1116"/>
        <w:gridCol w:w="1116"/>
        <w:gridCol w:w="1116"/>
        <w:gridCol w:w="1116"/>
        <w:gridCol w:w="1116"/>
      </w:tblGrid>
      <w:tr>
        <w:tc>
          <w:tcPr>
            <w:tcW w:type="dxa" w:w="29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Actividad clave</w:t>
            </w:r>
          </w:p>
        </w:tc>
        <w:tc>
          <w:tcPr>
            <w:tcW w:type="dxa" w:w="1116"/>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Patroc.</w:t>
            </w:r>
          </w:p>
        </w:tc>
        <w:tc>
          <w:tcPr>
            <w:tcW w:type="dxa" w:w="1116"/>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Gte. Proy.</w:t>
            </w:r>
          </w:p>
        </w:tc>
        <w:tc>
          <w:tcPr>
            <w:tcW w:type="dxa" w:w="1116"/>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Prod. Owner</w:t>
            </w:r>
          </w:p>
        </w:tc>
        <w:tc>
          <w:tcPr>
            <w:tcW w:type="dxa" w:w="1116"/>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Cient. Datos</w:t>
            </w:r>
          </w:p>
        </w:tc>
        <w:tc>
          <w:tcPr>
            <w:tcW w:type="dxa" w:w="1116"/>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Ing. Datos</w:t>
            </w:r>
          </w:p>
        </w:tc>
        <w:tc>
          <w:tcPr>
            <w:tcW w:type="dxa" w:w="1116"/>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Analista BI</w:t>
            </w:r>
          </w:p>
        </w:tc>
      </w:tr>
      <w:tr>
        <w:tc>
          <w:tcPr>
            <w:tcW w:type="dxa" w:w="29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Definición de alcance y backlog</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A/R</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r>
      <w:tr>
        <w:tc>
          <w:tcPr>
            <w:tcW w:type="dxa" w:w="29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Recolección y calidad de datos</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r>
      <w:tr>
        <w:tc>
          <w:tcPr>
            <w:tcW w:type="dxa" w:w="29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Modelado y validación</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r>
      <w:tr>
        <w:tc>
          <w:tcPr>
            <w:tcW w:type="dxa" w:w="2900"/>
            <w:shd w:fill="FFFFFF"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Despliegue del tablero</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FFFFFF"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w:t>
            </w:r>
          </w:p>
        </w:tc>
      </w:tr>
      <w:tr>
        <w:tc>
          <w:tcPr>
            <w:tcW w:type="dxa" w:w="29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bCs/>
                <w:sz w:val="18"/>
                <w:szCs w:val="18"/>
              </w:rPr>
              <w:t xml:space="preserve">Adopción y gestión del cambio</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w:t>
            </w:r>
          </w:p>
        </w:tc>
        <w:tc>
          <w:tcPr>
            <w:tcW w:type="dxa" w:w="1116"/>
            <w:shd w:fill="EEF1F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w:t>
            </w:r>
          </w:p>
        </w:tc>
      </w:tr>
    </w:tbl>
    <w:p>
      <w:pPr>
        <w:spacing w:after="30"/>
      </w:pPr>
    </w:p>
    <w:p>
      <w:pPr>
        <w:spacing w:after="90" w:line="258"/>
        <w:jc w:val="both"/>
      </w:pPr>
      <w:r>
        <w:rPr>
          <w:rFonts w:ascii="Times New Roman" w:cs="Times New Roman" w:eastAsia="Times New Roman" w:hAnsi="Times New Roman"/>
          <w:b/>
          <w:bCs/>
          <w:sz w:val="21"/>
          <w:szCs w:val="21"/>
        </w:rPr>
        <w:t xml:space="preserve">Convenciones: </w:t>
      </w:r>
      <w:r>
        <w:rPr>
          <w:rFonts w:ascii="Times New Roman" w:cs="Times New Roman" w:eastAsia="Times New Roman" w:hAnsi="Times New Roman"/>
          <w:sz w:val="21"/>
          <w:szCs w:val="21"/>
        </w:rPr>
        <w:t xml:space="preserve">R = Responsable (ejecuta), A = Aprueba / rinde cuentas (una sola por fila), C = Consultado, I = Informado.</w:t>
      </w:r>
    </w:p>
    <w:p>
      <w:pPr>
        <w:pStyle w:val="Heading1"/>
        <w:spacing w:after="80" w:before="200"/>
      </w:pPr>
      <w:r>
        <w:rPr>
          <w:rFonts w:ascii="Times New Roman" w:cs="Times New Roman" w:eastAsia="Times New Roman" w:hAnsi="Times New Roman"/>
          <w:b/>
          <w:bCs/>
          <w:color w:val="1F3B5C"/>
          <w:sz w:val="26"/>
          <w:szCs w:val="26"/>
        </w:rPr>
        <w:t xml:space="preserve">7. Gobernanza, calidad de datos, ética y cumplimiento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Gobernanza y calidad. </w:t>
      </w:r>
      <w:r>
        <w:rPr>
          <w:rFonts w:ascii="Times New Roman" w:cs="Times New Roman" w:eastAsia="Times New Roman" w:hAnsi="Times New Roman"/>
          <w:sz w:val="21"/>
          <w:szCs w:val="21"/>
        </w:rPr>
        <w:t xml:space="preserve">Se vigilan las dimensiones de completitud, consistencia, unicidad y oportunidad de las PQRSD, con un data owner (coordinación de la Oficina) y un data steward (analista responsable de los datos).</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Marco legal (Ley 1581 de 2012 / SIC). </w:t>
      </w:r>
      <w:r>
        <w:rPr>
          <w:rFonts w:ascii="Times New Roman" w:cs="Times New Roman" w:eastAsia="Times New Roman" w:hAnsi="Times New Roman"/>
          <w:sz w:val="21"/>
          <w:szCs w:val="21"/>
        </w:rPr>
        <w:t xml:space="preserve">Los datos de las víctimas son sensibles: se exige autorización de tratamiento, anonimización de identificadores directos (cédula, nombre) en los entornos de análisis y control de acceso.</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Ética y equidad. </w:t>
      </w:r>
      <w:r>
        <w:rPr>
          <w:rFonts w:ascii="Times New Roman" w:cs="Times New Roman" w:eastAsia="Times New Roman" w:hAnsi="Times New Roman"/>
          <w:sz w:val="21"/>
          <w:szCs w:val="21"/>
        </w:rPr>
        <w:t xml:space="preserve">Se excluyen atributos que puedan discriminar (etnia, filiación) del análisis de priorización, se auditan sesgos y se mantiene revisión humana en los casos que el modelo clasifica con baja confianza.</w:t>
      </w:r>
    </w:p>
    <w:p>
      <w:pPr>
        <w:pStyle w:val="Heading1"/>
        <w:spacing w:after="80" w:before="200"/>
      </w:pPr>
      <w:r>
        <w:rPr>
          <w:rFonts w:ascii="Times New Roman" w:cs="Times New Roman" w:eastAsia="Times New Roman" w:hAnsi="Times New Roman"/>
          <w:b/>
          <w:bCs/>
          <w:color w:val="1F3B5C"/>
          <w:sz w:val="26"/>
          <w:szCs w:val="26"/>
        </w:rPr>
        <w:t xml:space="preserve">8. Gestión de riesgos</w:t>
      </w:r>
    </w:p>
    <w:p>
      <w:pPr>
        <w:spacing w:after="90" w:line="258"/>
        <w:jc w:val="both"/>
      </w:pPr>
      <w:r>
        <w:rPr>
          <w:rFonts w:ascii="Times New Roman" w:cs="Times New Roman" w:eastAsia="Times New Roman" w:hAnsi="Times New Roman"/>
          <w:sz w:val="21"/>
          <w:szCs w:val="21"/>
        </w:rPr>
        <w:t xml:space="preserve">El registro de riesgos identifica, valora (probabilidad e impacto), define respuesta y asigna un responsable:</w:t>
      </w:r>
    </w:p>
    <w:tbl>
      <w:tblPr>
        <w:tblW w:type="dxa" w:w="9600"/>
        <w:tblBorders>
          <w:top w:val="single" w:color="1F3B5C" w:sz="4"/>
          <w:left w:val="single" w:color="BBBBBB" w:sz="2"/>
          <w:bottom w:val="single" w:color="1F3B5C" w:sz="4"/>
          <w:right w:val="single" w:color="BBBBBB" w:sz="2"/>
          <w:insideH w:val="single" w:color="CCCCCC" w:sz="2"/>
          <w:insideV w:val="single" w:color="CCCCCC" w:sz="2"/>
        </w:tblBorders>
      </w:tblPr>
      <w:tblGrid>
        <w:gridCol w:w="3100"/>
        <w:gridCol w:w="1500"/>
        <w:gridCol w:w="3700"/>
        <w:gridCol w:w="1300"/>
      </w:tblGrid>
      <w:tr>
        <w:tc>
          <w:tcPr>
            <w:tcW w:type="dxa" w:w="31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Riesgo identificado</w:t>
            </w:r>
          </w:p>
        </w:tc>
        <w:tc>
          <w:tcPr>
            <w:tcW w:type="dxa" w:w="15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Prob. / Imp.</w:t>
            </w:r>
          </w:p>
        </w:tc>
        <w:tc>
          <w:tcPr>
            <w:tcW w:type="dxa" w:w="37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Estrategia de respuesta</w:t>
            </w:r>
          </w:p>
        </w:tc>
        <w:tc>
          <w:tcPr>
            <w:tcW w:type="dxa" w:w="1300"/>
            <w:shd w:fill="1F3B5C" w:color="auto" w:val="clear"/>
            <w:tcMar>
              <w:top w:type="dxa" w:w="50"/>
              <w:left w:type="dxa" w:w="80"/>
              <w:bottom w:type="dxa" w:w="50"/>
              <w:right w:type="dxa" w:w="80"/>
            </w:tcMar>
          </w:tcPr>
          <w:p>
            <w:r>
              <w:rPr>
                <w:rFonts w:ascii="Times New Roman" w:cs="Times New Roman" w:eastAsia="Times New Roman" w:hAnsi="Times New Roman"/>
                <w:b/>
                <w:bCs/>
                <w:color w:val="FFFFFF"/>
                <w:sz w:val="18"/>
                <w:szCs w:val="18"/>
              </w:rPr>
              <w:t xml:space="preserve">Responsable</w:t>
            </w:r>
          </w:p>
        </w:tc>
      </w:tr>
      <w:tr>
        <w:tc>
          <w:tcPr>
            <w:tcW w:type="dxa" w:w="3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PQRSD en papel/PDF con baja calidad o difícil digitalización</w:t>
            </w:r>
          </w:p>
        </w:tc>
        <w:tc>
          <w:tcPr>
            <w:tcW w:type="dxa" w:w="15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Alta / Alto</w:t>
            </w:r>
          </w:p>
        </w:tc>
        <w:tc>
          <w:tcPr>
            <w:tcW w:type="dxa" w:w="37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Mitigar: digitalización con OCR, reglas de validación y muestreo manual de control.</w:t>
            </w:r>
          </w:p>
        </w:tc>
        <w:tc>
          <w:tcPr>
            <w:tcW w:type="dxa" w:w="13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Ing. de Datos</w:t>
            </w:r>
          </w:p>
        </w:tc>
      </w:tr>
      <w:tr>
        <w:tc>
          <w:tcPr>
            <w:tcW w:type="dxa" w:w="31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Datos insuficientes o categorías temáticas inestables</w:t>
            </w:r>
          </w:p>
        </w:tc>
        <w:tc>
          <w:tcPr>
            <w:tcW w:type="dxa" w:w="15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Media / Alto</w:t>
            </w:r>
          </w:p>
        </w:tc>
        <w:tc>
          <w:tcPr>
            <w:tcW w:type="dxa" w:w="37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Mitigar: definición iterativa de categorías con el SME y umbral mínimo de datos por clase.</w:t>
            </w:r>
          </w:p>
        </w:tc>
        <w:tc>
          <w:tcPr>
            <w:tcW w:type="dxa" w:w="13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Cient. de Datos</w:t>
            </w:r>
          </w:p>
        </w:tc>
      </w:tr>
      <w:tr>
        <w:tc>
          <w:tcPr>
            <w:tcW w:type="dxa" w:w="3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Manejo indebido de datos sensibles de víctimas</w:t>
            </w:r>
          </w:p>
        </w:tc>
        <w:tc>
          <w:tcPr>
            <w:tcW w:type="dxa" w:w="15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Baja / Alto</w:t>
            </w:r>
          </w:p>
        </w:tc>
        <w:tc>
          <w:tcPr>
            <w:tcW w:type="dxa" w:w="37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Evitar: anonimización, control de acceso y cumplimiento estricto de la Ley 1581 de 2012.</w:t>
            </w:r>
          </w:p>
        </w:tc>
        <w:tc>
          <w:tcPr>
            <w:tcW w:type="dxa" w:w="13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Gte. Proyecto</w:t>
            </w:r>
          </w:p>
        </w:tc>
      </w:tr>
      <w:tr>
        <w:tc>
          <w:tcPr>
            <w:tcW w:type="dxa" w:w="31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Baja adopción del tablero por el personal</w:t>
            </w:r>
          </w:p>
        </w:tc>
        <w:tc>
          <w:tcPr>
            <w:tcW w:type="dxa" w:w="15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Media / Alto</w:t>
            </w:r>
          </w:p>
        </w:tc>
        <w:tc>
          <w:tcPr>
            <w:tcW w:type="dxa" w:w="37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Mitigar: co-diseño con la Oficina, capacitación y tablero simple y accionable.</w:t>
            </w:r>
          </w:p>
        </w:tc>
        <w:tc>
          <w:tcPr>
            <w:tcW w:type="dxa" w:w="1300"/>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Product Owner</w:t>
            </w:r>
          </w:p>
        </w:tc>
      </w:tr>
      <w:tr>
        <w:tc>
          <w:tcPr>
            <w:tcW w:type="dxa" w:w="31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Deriva del modelo por cambio del vocabulario ciudadano</w:t>
            </w:r>
          </w:p>
        </w:tc>
        <w:tc>
          <w:tcPr>
            <w:tcW w:type="dxa" w:w="15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Alta / Medio</w:t>
            </w:r>
          </w:p>
        </w:tc>
        <w:tc>
          <w:tcPr>
            <w:tcW w:type="dxa" w:w="37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Mitigar/Aceptar: monitoreo de deriva y reentrenamiento periódico programado.</w:t>
            </w:r>
          </w:p>
        </w:tc>
        <w:tc>
          <w:tcPr>
            <w:tcW w:type="dxa" w:w="1300"/>
            <w:shd w:fill="EEF1F6" w:color="auto" w:val="clear"/>
            <w:tcMar>
              <w:top w:type="dxa" w:w="50"/>
              <w:left w:type="dxa" w:w="80"/>
              <w:bottom w:type="dxa" w:w="50"/>
              <w:right w:type="dxa" w:w="80"/>
            </w:tcMar>
          </w:tcPr>
          <w:p>
            <w:pPr>
              <w:spacing w:line="244"/>
            </w:pPr>
            <w:r>
              <w:rPr>
                <w:rFonts w:ascii="Times New Roman" w:cs="Times New Roman" w:eastAsia="Times New Roman" w:hAnsi="Times New Roman"/>
                <w:b w:val="false"/>
                <w:bCs w:val="false"/>
                <w:sz w:val="18"/>
                <w:szCs w:val="18"/>
              </w:rPr>
              <w:t xml:space="preserve">Cient. de Datos</w:t>
            </w:r>
          </w:p>
        </w:tc>
      </w:tr>
    </w:tbl>
    <w:p>
      <w:pPr>
        <w:pStyle w:val="Heading1"/>
        <w:spacing w:after="80" w:before="200"/>
      </w:pPr>
      <w:r>
        <w:rPr>
          <w:rFonts w:ascii="Times New Roman" w:cs="Times New Roman" w:eastAsia="Times New Roman" w:hAnsi="Times New Roman"/>
          <w:b/>
          <w:bCs/>
          <w:color w:val="1F3B5C"/>
          <w:sz w:val="26"/>
          <w:szCs w:val="26"/>
        </w:rPr>
        <w:t xml:space="preserve">9. Realización de valor, seguimiento y MLOps</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Métricas técnicas vs. de valor. </w:t>
      </w:r>
      <w:r>
        <w:rPr>
          <w:rFonts w:ascii="Times New Roman" w:cs="Times New Roman" w:eastAsia="Times New Roman" w:hAnsi="Times New Roman"/>
          <w:sz w:val="21"/>
          <w:szCs w:val="21"/>
        </w:rPr>
        <w:t xml:space="preserve">Se distingue el desempeño del modelo (F1 macro, precisión por categoría) del indicador de valor público: tiempo promedio de respuesta a PQRSD y evolución de la satisfacción en las encuestas.</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Operación MLOps. </w:t>
      </w:r>
      <w:r>
        <w:rPr>
          <w:rFonts w:ascii="Times New Roman" w:cs="Times New Roman" w:eastAsia="Times New Roman" w:hAnsi="Times New Roman"/>
          <w:sz w:val="21"/>
          <w:szCs w:val="21"/>
        </w:rPr>
        <w:t xml:space="preserve">Versionado de datos y modelo en MLflow y monitoreo de deriva; si el vocabulario ciudadano cambia y el desempeño del clasificador cae por debajo del umbral definido, se dispara un reentrenamiento y una revisión supervisada, de modo que el tablero siga siendo confiable.</w:t>
      </w:r>
    </w:p>
    <w:p>
      <w:pPr>
        <w:pStyle w:val="ListParagraph"/>
        <w:numPr>
          <w:ilvl w:val="0"/>
          <w:numId w:val="2"/>
        </w:numPr>
        <w:spacing w:after="40" w:line="256"/>
        <w:jc w:val="both"/>
      </w:pPr>
      <w:r>
        <w:rPr>
          <w:rFonts w:ascii="Times New Roman" w:cs="Times New Roman" w:eastAsia="Times New Roman" w:hAnsi="Times New Roman"/>
          <w:b/>
          <w:bCs/>
          <w:sz w:val="21"/>
          <w:szCs w:val="21"/>
        </w:rPr>
        <w:t xml:space="preserve">Realización de beneficios. </w:t>
      </w:r>
      <w:r>
        <w:rPr>
          <w:rFonts w:ascii="Times New Roman" w:cs="Times New Roman" w:eastAsia="Times New Roman" w:hAnsi="Times New Roman"/>
          <w:sz w:val="21"/>
          <w:szCs w:val="21"/>
        </w:rPr>
        <w:t xml:space="preserve">El valor se mide por el uso efectivo del tablero en las decisiones de la Oficina, no por la sola entrega del modelo.</w:t>
      </w:r>
    </w:p>
    <w:p>
      <w:pPr>
        <w:pStyle w:val="Heading1"/>
        <w:spacing w:after="80" w:before="200"/>
      </w:pPr>
      <w:r>
        <w:rPr>
          <w:rFonts w:ascii="Times New Roman" w:cs="Times New Roman" w:eastAsia="Times New Roman" w:hAnsi="Times New Roman"/>
          <w:b/>
          <w:bCs/>
          <w:color w:val="1F3B5C"/>
          <w:sz w:val="26"/>
          <w:szCs w:val="26"/>
        </w:rPr>
        <w:t xml:space="preserve">10. Conclusión</w:t>
      </w:r>
    </w:p>
    <w:p>
      <w:pPr>
        <w:spacing w:after="90" w:line="258"/>
        <w:jc w:val="both"/>
      </w:pPr>
      <w:r>
        <w:rPr>
          <w:rFonts w:ascii="Times New Roman" w:cs="Times New Roman" w:eastAsia="Times New Roman" w:hAnsi="Times New Roman"/>
          <w:sz w:val="21"/>
          <w:szCs w:val="21"/>
        </w:rPr>
        <w:t xml:space="preserve">La estructuración integral de este proyecto muestra que la ciencia de datos es insuficiente sin una disciplina sólida de gerencia de proyectos. Para el análisis de percepción ciudadana de la población víctima de Quibdó, la convergencia de ISO 21502, Kanban, CRISP-DM y prácticas mínimas de MLOps permite sortear la incertidumbre técnica y la alta dependencia de los datos, y garantiza que el rigor analítico se traduzca en una solución operativa, sostenible, respetuosa de los datos sensibles y alineada con el objetivo estratégico de mejorar la atención a la población víctima.</w:t>
      </w:r>
    </w:p>
    <w:p>
      <w:r>
        <w:br w:type="page"/>
      </w:r>
    </w:p>
    <w:p>
      <w:pPr>
        <w:pStyle w:val="Heading1"/>
        <w:spacing w:after="80" w:before="200"/>
      </w:pPr>
      <w:r>
        <w:rPr>
          <w:rFonts w:ascii="Times New Roman" w:cs="Times New Roman" w:eastAsia="Times New Roman" w:hAnsi="Times New Roman"/>
          <w:b/>
          <w:bCs/>
          <w:color w:val="1F3B5C"/>
          <w:sz w:val="26"/>
          <w:szCs w:val="26"/>
        </w:rPr>
        <w:t xml:space="preserve">Referencias</w:t>
      </w:r>
    </w:p>
    <w:p>
      <w:pPr>
        <w:spacing w:after="100" w:line="258"/>
        <w:ind w:left="720" w:hanging="720"/>
        <w:jc w:val="both"/>
      </w:pPr>
      <w:r>
        <w:rPr>
          <w:rFonts w:ascii="Times New Roman" w:cs="Times New Roman" w:eastAsia="Times New Roman" w:hAnsi="Times New Roman"/>
          <w:sz w:val="21"/>
          <w:szCs w:val="21"/>
        </w:rPr>
        <w:t xml:space="preserve">Anderson, D. J. (2010). Kanban: Successful evolutionary change for your technology business. Blue Hole Press.</w:t>
      </w:r>
    </w:p>
    <w:p>
      <w:pPr>
        <w:spacing w:after="100" w:line="258"/>
        <w:ind w:left="720" w:hanging="720"/>
        <w:jc w:val="both"/>
      </w:pPr>
      <w:r>
        <w:rPr>
          <w:rFonts w:ascii="Times New Roman" w:cs="Times New Roman" w:eastAsia="Times New Roman" w:hAnsi="Times New Roman"/>
          <w:sz w:val="21"/>
          <w:szCs w:val="21"/>
        </w:rPr>
        <w:t xml:space="preserve">Congreso de la República de Colombia. (2012). Ley 1581 de 2012, por la cual se dictan disposiciones generales para la protección de datos personales. Diario Oficial No. 48.587.</w:t>
      </w:r>
    </w:p>
    <w:p>
      <w:pPr>
        <w:spacing w:after="100" w:line="258"/>
        <w:ind w:left="720" w:hanging="720"/>
        <w:jc w:val="both"/>
      </w:pPr>
      <w:r>
        <w:rPr>
          <w:rFonts w:ascii="Times New Roman" w:cs="Times New Roman" w:eastAsia="Times New Roman" w:hAnsi="Times New Roman"/>
          <w:sz w:val="21"/>
          <w:szCs w:val="21"/>
        </w:rPr>
        <w:t xml:space="preserve">International Organization for Standardization. (2020). ISO 21502: Dirección y gestión de proyectos, programas y portafolios. ISO.</w:t>
      </w:r>
    </w:p>
    <w:p>
      <w:pPr>
        <w:spacing w:after="100" w:line="258"/>
        <w:ind w:left="720" w:hanging="720"/>
        <w:jc w:val="both"/>
      </w:pPr>
      <w:r>
        <w:rPr>
          <w:rFonts w:ascii="Times New Roman" w:cs="Times New Roman" w:eastAsia="Times New Roman" w:hAnsi="Times New Roman"/>
          <w:sz w:val="21"/>
          <w:szCs w:val="21"/>
        </w:rPr>
        <w:t xml:space="preserve">Kreuzberger, D., Kühl, N., &amp; Hirschl, S. (2023). Machine learning operations (MLOps): Overview, definition, and architecture. IEEE Access, 11, 31866-31879.</w:t>
      </w:r>
    </w:p>
    <w:p>
      <w:pPr>
        <w:spacing w:after="100" w:line="258"/>
        <w:ind w:left="720" w:hanging="720"/>
        <w:jc w:val="both"/>
      </w:pPr>
      <w:r>
        <w:rPr>
          <w:rFonts w:ascii="Times New Roman" w:cs="Times New Roman" w:eastAsia="Times New Roman" w:hAnsi="Times New Roman"/>
          <w:sz w:val="21"/>
          <w:szCs w:val="21"/>
        </w:rPr>
        <w:t xml:space="preserve">Project Management Institute. (2021). Guía de los fundamentos para la dirección de proyectos (Guía del PMBOK) (7.ª ed.). PMI.</w:t>
      </w:r>
    </w:p>
    <w:p>
      <w:pPr>
        <w:spacing w:after="100" w:line="258"/>
        <w:ind w:left="720" w:hanging="720"/>
        <w:jc w:val="both"/>
      </w:pPr>
      <w:r>
        <w:rPr>
          <w:rFonts w:ascii="Times New Roman" w:cs="Times New Roman" w:eastAsia="Times New Roman" w:hAnsi="Times New Roman"/>
          <w:sz w:val="21"/>
          <w:szCs w:val="21"/>
        </w:rPr>
        <w:t xml:space="preserve">Provost, F., &amp; Fawcett, T. (2013). Data science for business. O'Reilly Media.</w:t>
      </w:r>
    </w:p>
    <w:p>
      <w:pPr>
        <w:spacing w:after="100" w:line="258"/>
        <w:ind w:left="720" w:hanging="720"/>
        <w:jc w:val="both"/>
      </w:pPr>
      <w:r>
        <w:rPr>
          <w:rFonts w:ascii="Times New Roman" w:cs="Times New Roman" w:eastAsia="Times New Roman" w:hAnsi="Times New Roman"/>
          <w:sz w:val="21"/>
          <w:szCs w:val="21"/>
        </w:rPr>
        <w:t xml:space="preserve">Wirth, R., &amp; Hipp, J. (2000). CRISP-DM: Towards a standard process model for data mining. Proc. 4th Int. Conf. on Practical Applications of Knowledge Discovery and Data Mining.</w:t>
      </w:r>
    </w:p>
    <w:sectPr>
      <w:footerReference w:type="default" r:id="rId7"/>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Times New Roman" w:cs="Times New Roman" w:eastAsia="Times New Roman" w:hAnsi="Times New Roman"/>
        <w:color w:val="555555"/>
        <w:sz w:val="15"/>
        <w:szCs w:val="15"/>
      </w:rPr>
      <w:t xml:space="preserve">Gerencia de Proyectos y Analítica — Documento definitivo — Página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2026-09-04T01:54:40.267Z</dcterms:created>
  <dcterms:modified xsi:type="dcterms:W3CDTF">2026-09-04T01:54:40.278Z</dcterms:modified>
</cp:coreProperties>
</file>

<file path=docProps/custom.xml><?xml version="1.0" encoding="utf-8"?>
<Properties xmlns="http://schemas.openxmlformats.org/officeDocument/2006/custom-properties" xmlns:vt="http://schemas.openxmlformats.org/officeDocument/2006/docPropsVTypes"/>
</file>