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center"/>
        <w:rPr/>
      </w:pPr>
      <w:r w:rsidDel="00000000" w:rsidR="00000000" w:rsidRPr="00000000">
        <w:rPr>
          <w:b w:val="1"/>
          <w:bCs w:val="1"/>
          <w:color w:val="1f3864"/>
          <w:sz w:val="28"/>
          <w:szCs w:val="28"/>
          <w:rtl w:val="0"/>
        </w:rPr>
        <w:t xml:space="preserve">Universidade do Minho</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sz w:val="24"/>
          <w:szCs w:val="24"/>
          <w:rtl w:val="0"/>
        </w:rPr>
        <w:t xml:space="preserve">Licenciatura em Ciência de Dados — 3.º Ano</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sz w:val="24"/>
          <w:szCs w:val="24"/>
          <w:rtl w:val="0"/>
        </w:rPr>
        <w:t xml:space="preserve">Ciência de Dados em Grande Escala</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b w:val="1"/>
          <w:bCs w:val="1"/>
          <w:color w:val="1f3864"/>
          <w:sz w:val="44"/>
          <w:szCs w:val="44"/>
          <w:rtl w:val="0"/>
        </w:rPr>
        <w:t xml:space="preserve">TrendMart 2026</w:t>
      </w:r>
      <w:r w:rsidDel="00000000" w:rsidR="00000000" w:rsidRPr="00000000">
        <w:rPr>
          <w:rtl w:val="0"/>
        </w:rPr>
      </w:r>
    </w:p>
    <w:p w:rsidR="00000000" w:rsidDel="00000000" w:rsidP="00000000" w:rsidRDefault="00000000" w:rsidRPr="00000000" w14:paraId="00000005">
      <w:pPr>
        <w:spacing w:after="800" w:lineRule="auto"/>
        <w:jc w:val="center"/>
        <w:rPr/>
      </w:pPr>
      <w:r w:rsidDel="00000000" w:rsidR="00000000" w:rsidRPr="00000000">
        <w:rPr>
          <w:i w:val="1"/>
          <w:iCs w:val="1"/>
          <w:color w:val="444444"/>
          <w:sz w:val="26"/>
          <w:szCs w:val="26"/>
          <w:rtl w:val="0"/>
        </w:rPr>
        <w:t xml:space="preserve">Sistema de Análise de Tendências de Aquisição de Produtos em Retalho Especializado</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b w:val="1"/>
          <w:bCs w:val="1"/>
          <w:sz w:val="24"/>
          <w:szCs w:val="24"/>
          <w:rtl w:val="0"/>
        </w:rPr>
        <w:t xml:space="preserve">Relatório do Trabalho Prático</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tl w:val="0"/>
        </w:rPr>
        <w:t xml:space="preserve">Ano Letivo 2025/2026 — 2.º Semestre</w:t>
      </w:r>
    </w:p>
    <w:p w:rsidR="00000000" w:rsidDel="00000000" w:rsidP="00000000" w:rsidRDefault="00000000" w:rsidRPr="00000000" w14:paraId="00000008">
      <w:pPr>
        <w:spacing w:after="100" w:lineRule="auto"/>
        <w:jc w:val="center"/>
        <w:rPr/>
      </w:pPr>
      <w:r w:rsidDel="00000000" w:rsidR="00000000" w:rsidRPr="00000000">
        <w:rPr>
          <w:rtl w:val="0"/>
        </w:rPr>
        <w:t xml:space="preserve">Abril de 2026</w:t>
      </w:r>
    </w:p>
    <w:p w:rsidR="00000000" w:rsidDel="00000000" w:rsidP="00000000" w:rsidRDefault="00000000" w:rsidRPr="00000000" w14:paraId="00000009">
      <w:pPr>
        <w:spacing w:after="100" w:lineRule="auto"/>
        <w:jc w:val="center"/>
        <w:rPr/>
      </w:pPr>
      <w:r w:rsidDel="00000000" w:rsidR="00000000" w:rsidRPr="00000000">
        <w:rPr>
          <w:rtl w:val="0"/>
        </w:rPr>
      </w:r>
    </w:p>
    <w:p w:rsidR="00000000" w:rsidDel="00000000" w:rsidP="00000000" w:rsidRDefault="00000000" w:rsidRPr="00000000" w14:paraId="0000000A">
      <w:pPr>
        <w:spacing w:after="100" w:lineRule="auto"/>
        <w:jc w:val="center"/>
        <w:rPr/>
      </w:pPr>
      <w:r w:rsidDel="00000000" w:rsidR="00000000" w:rsidRPr="00000000">
        <w:rPr>
          <w:rtl w:val="0"/>
        </w:rPr>
      </w:r>
    </w:p>
    <w:p w:rsidR="00000000" w:rsidDel="00000000" w:rsidP="00000000" w:rsidRDefault="00000000" w:rsidRPr="00000000" w14:paraId="0000000B">
      <w:pPr>
        <w:spacing w:after="100" w:lineRule="auto"/>
        <w:jc w:val="center"/>
        <w:rPr/>
      </w:pPr>
      <w:r w:rsidDel="00000000" w:rsidR="00000000" w:rsidRPr="00000000">
        <w:rPr>
          <w:rtl w:val="0"/>
        </w:rPr>
      </w:r>
    </w:p>
    <w:p w:rsidR="00000000" w:rsidDel="00000000" w:rsidP="00000000" w:rsidRDefault="00000000" w:rsidRPr="00000000" w14:paraId="0000000C">
      <w:pPr>
        <w:spacing w:after="100" w:lineRule="auto"/>
        <w:jc w:val="center"/>
        <w:rPr/>
      </w:pPr>
      <w:r w:rsidDel="00000000" w:rsidR="00000000" w:rsidRPr="00000000">
        <w:rPr>
          <w:rtl w:val="0"/>
        </w:rPr>
      </w:r>
    </w:p>
    <w:p w:rsidR="00000000" w:rsidDel="00000000" w:rsidP="00000000" w:rsidRDefault="00000000" w:rsidRPr="00000000" w14:paraId="0000000D">
      <w:pPr>
        <w:spacing w:after="100" w:lineRule="auto"/>
        <w:jc w:val="center"/>
        <w:rPr/>
      </w:pPr>
      <w:r w:rsidDel="00000000" w:rsidR="00000000" w:rsidRPr="00000000">
        <w:rPr>
          <w:rtl w:val="0"/>
        </w:rPr>
      </w:r>
    </w:p>
    <w:p w:rsidR="00000000" w:rsidDel="00000000" w:rsidP="00000000" w:rsidRDefault="00000000" w:rsidRPr="00000000" w14:paraId="0000000E">
      <w:pPr>
        <w:spacing w:after="100" w:lineRule="auto"/>
        <w:jc w:val="center"/>
        <w:rPr/>
      </w:pPr>
      <w:r w:rsidDel="00000000" w:rsidR="00000000" w:rsidRPr="00000000">
        <w:rPr>
          <w:rtl w:val="0"/>
        </w:rPr>
      </w:r>
    </w:p>
    <w:p w:rsidR="00000000" w:rsidDel="00000000" w:rsidP="00000000" w:rsidRDefault="00000000" w:rsidRPr="00000000" w14:paraId="0000000F">
      <w:pPr>
        <w:spacing w:after="100" w:lineRule="auto"/>
        <w:jc w:val="center"/>
        <w:rPr/>
      </w:pPr>
      <w:r w:rsidDel="00000000" w:rsidR="00000000" w:rsidRPr="00000000">
        <w:rPr>
          <w:rtl w:val="0"/>
        </w:rPr>
      </w:r>
    </w:p>
    <w:p w:rsidR="00000000" w:rsidDel="00000000" w:rsidP="00000000" w:rsidRDefault="00000000" w:rsidRPr="00000000" w14:paraId="00000010">
      <w:pPr>
        <w:spacing w:after="100" w:lineRule="auto"/>
        <w:jc w:val="center"/>
        <w:rPr/>
      </w:pPr>
      <w:r w:rsidDel="00000000" w:rsidR="00000000" w:rsidRPr="00000000">
        <w:rPr>
          <w:rtl w:val="0"/>
        </w:rPr>
      </w:r>
    </w:p>
    <w:p w:rsidR="00000000" w:rsidDel="00000000" w:rsidP="00000000" w:rsidRDefault="00000000" w:rsidRPr="00000000" w14:paraId="00000011">
      <w:pPr>
        <w:spacing w:after="100" w:lineRule="auto"/>
        <w:jc w:val="center"/>
        <w:rPr/>
      </w:pPr>
      <w:r w:rsidDel="00000000" w:rsidR="00000000" w:rsidRPr="00000000">
        <w:rPr>
          <w:rtl w:val="0"/>
        </w:rPr>
      </w:r>
    </w:p>
    <w:p w:rsidR="00000000" w:rsidDel="00000000" w:rsidP="00000000" w:rsidRDefault="00000000" w:rsidRPr="00000000" w14:paraId="00000012">
      <w:pPr>
        <w:spacing w:after="100" w:lineRule="auto"/>
        <w:jc w:val="center"/>
        <w:rPr/>
      </w:pPr>
      <w:r w:rsidDel="00000000" w:rsidR="00000000" w:rsidRPr="00000000">
        <w:rPr>
          <w:rtl w:val="0"/>
        </w:rPr>
      </w:r>
    </w:p>
    <w:p w:rsidR="00000000" w:rsidDel="00000000" w:rsidP="00000000" w:rsidRDefault="00000000" w:rsidRPr="00000000" w14:paraId="00000013">
      <w:pPr>
        <w:spacing w:after="100" w:lineRule="auto"/>
        <w:jc w:val="center"/>
        <w:rPr/>
      </w:pPr>
      <w:r w:rsidDel="00000000" w:rsidR="00000000" w:rsidRPr="00000000">
        <w:rPr>
          <w:rtl w:val="0"/>
        </w:rPr>
      </w:r>
    </w:p>
    <w:p w:rsidR="00000000" w:rsidDel="00000000" w:rsidP="00000000" w:rsidRDefault="00000000" w:rsidRPr="00000000" w14:paraId="00000014">
      <w:pPr>
        <w:spacing w:after="100" w:lineRule="auto"/>
        <w:jc w:val="center"/>
        <w:rPr/>
      </w:pPr>
      <w:r w:rsidDel="00000000" w:rsidR="00000000" w:rsidRPr="00000000">
        <w:rPr>
          <w:rtl w:val="0"/>
        </w:rPr>
      </w:r>
    </w:p>
    <w:p w:rsidR="00000000" w:rsidDel="00000000" w:rsidP="00000000" w:rsidRDefault="00000000" w:rsidRPr="00000000" w14:paraId="00000015">
      <w:pPr>
        <w:spacing w:after="100" w:lineRule="auto"/>
        <w:jc w:val="center"/>
        <w:rPr/>
      </w:pPr>
      <w:r w:rsidDel="00000000" w:rsidR="00000000" w:rsidRPr="00000000">
        <w:rPr>
          <w:rtl w:val="0"/>
        </w:rPr>
      </w:r>
    </w:p>
    <w:p w:rsidR="00000000" w:rsidDel="00000000" w:rsidP="00000000" w:rsidRDefault="00000000" w:rsidRPr="00000000" w14:paraId="00000016">
      <w:pPr>
        <w:spacing w:after="100" w:lineRule="auto"/>
        <w:jc w:val="center"/>
        <w:rPr/>
      </w:pPr>
      <w:r w:rsidDel="00000000" w:rsidR="00000000" w:rsidRPr="00000000">
        <w:rPr>
          <w:rtl w:val="0"/>
        </w:rPr>
      </w:r>
    </w:p>
    <w:p w:rsidR="00000000" w:rsidDel="00000000" w:rsidP="00000000" w:rsidRDefault="00000000" w:rsidRPr="00000000" w14:paraId="00000017">
      <w:pPr>
        <w:spacing w:after="100" w:lineRule="auto"/>
        <w:jc w:val="center"/>
        <w:rPr/>
      </w:pPr>
      <w:r w:rsidDel="00000000" w:rsidR="00000000" w:rsidRPr="00000000">
        <w:rPr>
          <w:rtl w:val="0"/>
        </w:rPr>
      </w:r>
    </w:p>
    <w:p w:rsidR="00000000" w:rsidDel="00000000" w:rsidP="00000000" w:rsidRDefault="00000000" w:rsidRPr="00000000" w14:paraId="00000018">
      <w:pPr>
        <w:spacing w:after="100" w:lineRule="auto"/>
        <w:jc w:val="center"/>
        <w:rPr/>
      </w:pPr>
      <w:r w:rsidDel="00000000" w:rsidR="00000000" w:rsidRPr="00000000">
        <w:rPr>
          <w:rtl w:val="0"/>
        </w:rPr>
      </w:r>
    </w:p>
    <w:p w:rsidR="00000000" w:rsidDel="00000000" w:rsidP="00000000" w:rsidRDefault="00000000" w:rsidRPr="00000000" w14:paraId="00000019">
      <w:pPr>
        <w:spacing w:after="100" w:lineRule="auto"/>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Realizado por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Alexandr Tchikoulaev - A103625</w:t>
      </w:r>
    </w:p>
    <w:p w:rsidR="00000000" w:rsidDel="00000000" w:rsidP="00000000" w:rsidRDefault="00000000" w:rsidRPr="00000000" w14:paraId="0000001D">
      <w:pPr>
        <w:rPr/>
      </w:pPr>
      <w:r w:rsidDel="00000000" w:rsidR="00000000" w:rsidRPr="00000000">
        <w:rPr>
          <w:rtl w:val="0"/>
        </w:rPr>
        <w:t xml:space="preserve">David Costa - A102397</w:t>
      </w:r>
    </w:p>
    <w:p w:rsidR="00000000" w:rsidDel="00000000" w:rsidP="00000000" w:rsidRDefault="00000000" w:rsidRPr="00000000" w14:paraId="0000001E">
      <w:pPr>
        <w:rPr/>
      </w:pPr>
      <w:r w:rsidDel="00000000" w:rsidR="00000000" w:rsidRPr="00000000">
        <w:rPr>
          <w:rtl w:val="0"/>
        </w:rPr>
        <w:t xml:space="preserve">João Alves - A102394</w:t>
      </w:r>
    </w:p>
    <w:p w:rsidR="00000000" w:rsidDel="00000000" w:rsidP="00000000" w:rsidRDefault="00000000" w:rsidRPr="00000000" w14:paraId="0000001F">
      <w:pPr>
        <w:rPr/>
      </w:pPr>
      <w:r w:rsidDel="00000000" w:rsidR="00000000" w:rsidRPr="00000000">
        <w:rPr>
          <w:rtl w:val="0"/>
        </w:rPr>
        <w:t xml:space="preserve">Vasco Azevedo - A106823</w:t>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pBdr>
          <w:bottom w:color="2e75b6" w:space="1" w:sz="6" w:val="single"/>
        </w:pBdr>
        <w:spacing w:after="180" w:lineRule="auto"/>
        <w:rPr>
          <w:color w:val="1f3864"/>
        </w:rPr>
      </w:pPr>
      <w:r w:rsidDel="00000000" w:rsidR="00000000" w:rsidRPr="00000000">
        <w:rPr>
          <w:color w:val="1f3864"/>
          <w:rtl w:val="0"/>
        </w:rPr>
        <w:t xml:space="preserve">Resumo</w:t>
      </w:r>
    </w:p>
    <w:p w:rsidR="00000000" w:rsidDel="00000000" w:rsidP="00000000" w:rsidRDefault="00000000" w:rsidRPr="00000000" w14:paraId="00000021">
      <w:pPr>
        <w:spacing w:after="120" w:before="60" w:lineRule="auto"/>
        <w:jc w:val="both"/>
        <w:rPr/>
      </w:pPr>
      <w:r w:rsidDel="00000000" w:rsidR="00000000" w:rsidRPr="00000000">
        <w:rPr>
          <w:rtl w:val="0"/>
        </w:rPr>
        <w:t xml:space="preserve">O presente relatório documenta o projeto TrendMart 2026, um sistema de análise de dados orientado à deteção precoce de tendências de aquisição de produtos em retalho especializado. O sistema foi desenvolvido no âmbito da unidade curricular de Ciência de Dados em Grande Escala, com o objetivo de integrar fontes de dados heterogéneas — dados transacionais estruturados, dados de pesquisa online semi-estruturados e opiniões de clientes em formato JSON — numa arquitetura unificada de Data Warehouse.</w:t>
      </w:r>
    </w:p>
    <w:p w:rsidR="00000000" w:rsidDel="00000000" w:rsidP="00000000" w:rsidRDefault="00000000" w:rsidRPr="00000000" w14:paraId="00000022">
      <w:pPr>
        <w:spacing w:after="60" w:before="60" w:lineRule="auto"/>
        <w:rPr/>
      </w:pPr>
      <w:r w:rsidDel="00000000" w:rsidR="00000000" w:rsidRPr="00000000">
        <w:rPr>
          <w:rtl w:val="0"/>
        </w:rPr>
      </w:r>
    </w:p>
    <w:p w:rsidR="00000000" w:rsidDel="00000000" w:rsidP="00000000" w:rsidRDefault="00000000" w:rsidRPr="00000000" w14:paraId="00000023">
      <w:pPr>
        <w:spacing w:after="120" w:before="60" w:lineRule="auto"/>
        <w:jc w:val="both"/>
        <w:rPr/>
      </w:pPr>
      <w:r w:rsidDel="00000000" w:rsidR="00000000" w:rsidRPr="00000000">
        <w:rPr>
          <w:rtl w:val="0"/>
        </w:rPr>
        <w:t xml:space="preserve">O trabalho envolveu a conceção e implementação de uma pipeline completa de ingestão, transformação e análise de dados, assente num Star Schema no PostgreSQL com seis dimensões e uma tabela de factos com mais de 110 mil registos de vendas. O sistema inclui um mecanismo de Change Data Capture (CDC) através de triggers PL/pgSQL para auditoria em tempo real, duas dimensões analíticas adicionais (dim_trend e dim_review) e um motor de inteligência artificial baseado no algoritmo XGBoost, validado cronologicamente com TimeSeriesSplit.</w:t>
      </w:r>
    </w:p>
    <w:p w:rsidR="00000000" w:rsidDel="00000000" w:rsidP="00000000" w:rsidRDefault="00000000" w:rsidRPr="00000000" w14:paraId="00000024">
      <w:pPr>
        <w:spacing w:after="60" w:before="60" w:lineRule="auto"/>
        <w:rPr/>
      </w:pPr>
      <w:r w:rsidDel="00000000" w:rsidR="00000000" w:rsidRPr="00000000">
        <w:rPr>
          <w:rtl w:val="0"/>
        </w:rPr>
      </w:r>
    </w:p>
    <w:p w:rsidR="00000000" w:rsidDel="00000000" w:rsidP="00000000" w:rsidRDefault="00000000" w:rsidRPr="00000000" w14:paraId="00000025">
      <w:pPr>
        <w:spacing w:after="120" w:before="60" w:lineRule="auto"/>
        <w:jc w:val="both"/>
        <w:rPr/>
      </w:pPr>
      <w:r w:rsidDel="00000000" w:rsidR="00000000" w:rsidRPr="00000000">
        <w:rPr>
          <w:rtl w:val="0"/>
        </w:rPr>
        <w:t xml:space="preserve">O modelo final, denominado FAROL, atingiu um coeficiente de determinação R² de 0,935 no conjunto de teste e R² = 0,857 na validação cruzada temporal com 5 folds, com um erro absoluto médio (MAE) de 1,1 unidades. O sistema demonstrou capacidade de deteção antecipada de tendências emergentes, identificando a categoria la_cuisine com um score de alerta de 86,6% antes de o crescimento de vendas se materializar.</w:t>
      </w:r>
    </w:p>
    <w:p w:rsidR="00000000" w:rsidDel="00000000" w:rsidP="00000000" w:rsidRDefault="00000000" w:rsidRPr="00000000" w14:paraId="00000026">
      <w:pPr>
        <w:spacing w:after="60" w:before="60" w:lineRule="auto"/>
        <w:rPr/>
      </w:pPr>
      <w:r w:rsidDel="00000000" w:rsidR="00000000" w:rsidRPr="00000000">
        <w:rPr>
          <w:rtl w:val="0"/>
        </w:rPr>
      </w:r>
    </w:p>
    <w:p w:rsidR="00000000" w:rsidDel="00000000" w:rsidP="00000000" w:rsidRDefault="00000000" w:rsidRPr="00000000" w14:paraId="00000027">
      <w:pPr>
        <w:spacing w:after="120" w:before="60" w:lineRule="auto"/>
        <w:jc w:val="both"/>
        <w:rPr/>
      </w:pPr>
      <w:r w:rsidDel="00000000" w:rsidR="00000000" w:rsidRPr="00000000">
        <w:rPr>
          <w:rtl w:val="0"/>
        </w:rPr>
        <w:t xml:space="preserve">O projeto encontra-se completamente implementado e validado, cobrindo todos os requisitos enunciados: arquitetura heterogénea, métricas quantitativas de tendência, modelação de séries temporais, avaliação de desempenho e análise crítica dos resultados.</w:t>
      </w:r>
    </w:p>
    <w:p w:rsidR="00000000" w:rsidDel="00000000" w:rsidP="00000000" w:rsidRDefault="00000000" w:rsidRPr="00000000" w14:paraId="00000028">
      <w:pPr>
        <w:spacing w:after="60" w:before="60" w:lineRule="auto"/>
        <w:rPr/>
      </w:pP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b w:val="1"/>
          <w:bCs w:val="1"/>
          <w:rtl w:val="0"/>
        </w:rPr>
        <w:t xml:space="preserve">Área de Aplicação: </w:t>
      </w:r>
      <w:r w:rsidDel="00000000" w:rsidR="00000000" w:rsidRPr="00000000">
        <w:rPr>
          <w:rtl w:val="0"/>
        </w:rPr>
        <w:t xml:space="preserve">Análise de Tendências de Mercado em Retalho Especializado; Data Warehousing; Machine Learning em Séries Temporais.</w:t>
      </w:r>
    </w:p>
    <w:p w:rsidR="00000000" w:rsidDel="00000000" w:rsidP="00000000" w:rsidRDefault="00000000" w:rsidRPr="00000000" w14:paraId="0000002A">
      <w:pPr>
        <w:spacing w:after="60" w:before="60" w:lineRule="auto"/>
        <w:rPr/>
      </w:pPr>
      <w:r w:rsidDel="00000000" w:rsidR="00000000" w:rsidRPr="00000000">
        <w:rPr>
          <w:b w:val="1"/>
          <w:bCs w:val="1"/>
          <w:rtl w:val="0"/>
        </w:rPr>
        <w:t xml:space="preserve">Palavras-Chave: </w:t>
      </w:r>
      <w:r w:rsidDel="00000000" w:rsidR="00000000" w:rsidRPr="00000000">
        <w:rPr>
          <w:rtl w:val="0"/>
        </w:rPr>
        <w:t xml:space="preserve">Data Warehouse, Star Schema, ETL, PostgreSQL, XGBoost, Séries Temporais, TimeSeriesSplit, Change Data Capture, Tendências de Mercado, Arquitetura Heterogénea.</w:t>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pBdr>
          <w:bottom w:color="2e75b6" w:space="1" w:sz="6" w:val="single"/>
        </w:pBdr>
        <w:spacing w:after="180" w:lineRule="auto"/>
        <w:rPr>
          <w:color w:val="1f3864"/>
        </w:rPr>
      </w:pPr>
      <w:r w:rsidDel="00000000" w:rsidR="00000000" w:rsidRPr="00000000">
        <w:rPr>
          <w:color w:val="1f3864"/>
          <w:rtl w:val="0"/>
        </w:rPr>
        <w:t xml:space="preserve">1. Definição do Sistema</w:t>
      </w:r>
    </w:p>
    <w:p w:rsidR="00000000" w:rsidDel="00000000" w:rsidP="00000000" w:rsidRDefault="00000000" w:rsidRPr="00000000" w14:paraId="0000002D">
      <w:pPr>
        <w:pStyle w:val="Heading2"/>
        <w:spacing w:after="120" w:before="240" w:lineRule="auto"/>
        <w:rPr>
          <w:color w:val="2e75b6"/>
          <w:sz w:val="26"/>
          <w:szCs w:val="26"/>
        </w:rPr>
      </w:pPr>
      <w:r w:rsidDel="00000000" w:rsidR="00000000" w:rsidRPr="00000000">
        <w:rPr>
          <w:color w:val="2e75b6"/>
          <w:sz w:val="26"/>
          <w:szCs w:val="26"/>
          <w:rtl w:val="0"/>
        </w:rPr>
        <w:t xml:space="preserve">1.1 Contextualização</w:t>
      </w:r>
    </w:p>
    <w:p w:rsidR="00000000" w:rsidDel="00000000" w:rsidP="00000000" w:rsidRDefault="00000000" w:rsidRPr="00000000" w14:paraId="0000002E">
      <w:pPr>
        <w:spacing w:after="120" w:before="60" w:lineRule="auto"/>
        <w:jc w:val="both"/>
        <w:rPr/>
      </w:pPr>
      <w:r w:rsidDel="00000000" w:rsidR="00000000" w:rsidRPr="00000000">
        <w:rPr>
          <w:rtl w:val="0"/>
        </w:rPr>
        <w:t xml:space="preserve">O retalho especializado enfrenta atualmente uma pressão crescente para antecipar as preferências dos consumidores num mercado cada vez mais volátil e competitivo. A digitalização do comportamento de compra gerou volumes massivos de dados heterogéneos provenientes de múltiplas fontes: sistemas transacionais internos, plataformas de pesquisa online e canais de opinião de clientes. A capacidade de integrar e analisar estes dados em tempo oportuno constitui uma vantagem competitiva determinante para qualquer organização retalhista.</w:t>
      </w:r>
    </w:p>
    <w:p w:rsidR="00000000" w:rsidDel="00000000" w:rsidP="00000000" w:rsidRDefault="00000000" w:rsidRPr="00000000" w14:paraId="0000002F">
      <w:pPr>
        <w:spacing w:after="120" w:before="60" w:lineRule="auto"/>
        <w:jc w:val="both"/>
        <w:rPr/>
      </w:pPr>
      <w:r w:rsidDel="00000000" w:rsidR="00000000" w:rsidRPr="00000000">
        <w:rPr>
          <w:rtl w:val="0"/>
        </w:rPr>
        <w:t xml:space="preserve">O sistema TrendMart 2026 foi concebido para uma empresa fictícia de retalho especializado — a TrendMart — que opera num mercado de grande dimensão com um catálogo de produtos distribuído por 74 categorias distintas. A empresa dispõe de um histórico de vendas de 110 mil transações, acesso a dados de volume de pesquisa online por categoria de produto (simulando a Google Search Console) e dados de avaliações e opiniões de clientes sobre os produtos vendidos.</w:t>
      </w:r>
    </w:p>
    <w:p w:rsidR="00000000" w:rsidDel="00000000" w:rsidP="00000000" w:rsidRDefault="00000000" w:rsidRPr="00000000" w14:paraId="00000030">
      <w:pPr>
        <w:spacing w:after="120" w:before="60" w:lineRule="auto"/>
        <w:jc w:val="both"/>
        <w:rPr/>
      </w:pPr>
      <w:r w:rsidDel="00000000" w:rsidR="00000000" w:rsidRPr="00000000">
        <w:rPr>
          <w:rtl w:val="0"/>
        </w:rPr>
        <w:t xml:space="preserve">O dataset utilizado como base para os dados transacionais é o Brazilian E-Commerce Public Dataset da Olist, disponível publicamente e amplamente utilizado em projetos académicos de análise de dados. Este dataset cobre o período de 2016 a 2018 e inclui informação detalhada sobre pedidos, produtos, clientes, vendedores e avaliações. Os dados de tendências de pesquisa e de reviews foram gerados sinteticamente com padrões temporais realistas, simulando o comportamento que seria esperado de fontes externas reais.</w:t>
      </w:r>
    </w:p>
    <w:p w:rsidR="00000000" w:rsidDel="00000000" w:rsidP="00000000" w:rsidRDefault="00000000" w:rsidRPr="00000000" w14:paraId="00000031">
      <w:pPr>
        <w:spacing w:after="60" w:before="60" w:lineRule="auto"/>
        <w:rPr/>
      </w:pPr>
      <w:r w:rsidDel="00000000" w:rsidR="00000000" w:rsidRPr="00000000">
        <w:rPr>
          <w:rtl w:val="0"/>
        </w:rPr>
      </w:r>
    </w:p>
    <w:p w:rsidR="00000000" w:rsidDel="00000000" w:rsidP="00000000" w:rsidRDefault="00000000" w:rsidRPr="00000000" w14:paraId="00000032">
      <w:pPr>
        <w:pStyle w:val="Heading2"/>
        <w:spacing w:after="120" w:before="240" w:lineRule="auto"/>
        <w:rPr>
          <w:color w:val="2e75b6"/>
          <w:sz w:val="26"/>
          <w:szCs w:val="26"/>
        </w:rPr>
      </w:pPr>
      <w:r w:rsidDel="00000000" w:rsidR="00000000" w:rsidRPr="00000000">
        <w:rPr>
          <w:color w:val="2e75b6"/>
          <w:sz w:val="26"/>
          <w:szCs w:val="26"/>
          <w:rtl w:val="0"/>
        </w:rPr>
        <w:t xml:space="preserve">1.2 Motivação</w:t>
      </w:r>
    </w:p>
    <w:p w:rsidR="00000000" w:rsidDel="00000000" w:rsidP="00000000" w:rsidRDefault="00000000" w:rsidRPr="00000000" w14:paraId="00000033">
      <w:pPr>
        <w:spacing w:after="120" w:before="60" w:lineRule="auto"/>
        <w:jc w:val="both"/>
        <w:rPr/>
      </w:pPr>
      <w:r w:rsidDel="00000000" w:rsidR="00000000" w:rsidRPr="00000000">
        <w:rPr>
          <w:rtl w:val="0"/>
        </w:rPr>
        <w:t xml:space="preserve">A motivação central deste projeto reside na necessidade de superar as limitações dos sistemas de análise tradicionais, que operam exclusivamente sobre dados transacionais históricos e apenas detetam tendências após estas se materializarem em vendas. O objetivo é construir um sistema capaz de identificar sinais precoces de emergência de tendências antes de o crescimento de vendas ser visível.</w:t>
      </w:r>
    </w:p>
    <w:p w:rsidR="00000000" w:rsidDel="00000000" w:rsidP="00000000" w:rsidRDefault="00000000" w:rsidRPr="00000000" w14:paraId="00000034">
      <w:pPr>
        <w:spacing w:after="120" w:before="60" w:lineRule="auto"/>
        <w:jc w:val="both"/>
        <w:rPr/>
      </w:pPr>
      <w:r w:rsidDel="00000000" w:rsidR="00000000" w:rsidRPr="00000000">
        <w:rPr>
          <w:rtl w:val="0"/>
        </w:rPr>
        <w:t xml:space="preserve">Três observações de mercado justificam esta abordagem:</w:t>
      </w:r>
    </w:p>
    <w:p w:rsidR="00000000" w:rsidDel="00000000" w:rsidP="00000000" w:rsidRDefault="00000000" w:rsidRPr="00000000" w14:paraId="00000035">
      <w:pPr>
        <w:numPr>
          <w:ilvl w:val="0"/>
          <w:numId w:val="1"/>
        </w:numPr>
        <w:spacing w:after="40" w:before="40" w:lineRule="auto"/>
        <w:ind w:left="720" w:hanging="360"/>
        <w:jc w:val="both"/>
      </w:pPr>
      <w:r w:rsidDel="00000000" w:rsidR="00000000" w:rsidRPr="00000000">
        <w:rPr>
          <w:rtl w:val="0"/>
        </w:rPr>
        <w:t xml:space="preserve">Os consumidores pesquisam online antes de comprar — o volume de pesquisa por uma categoria antecipa as vendas em um a dois períodos temporais, criando uma janela de oportunidade para decisões de stock e marketing.</w:t>
      </w:r>
    </w:p>
    <w:p w:rsidR="00000000" w:rsidDel="00000000" w:rsidP="00000000" w:rsidRDefault="00000000" w:rsidRPr="00000000" w14:paraId="00000036">
      <w:pPr>
        <w:numPr>
          <w:ilvl w:val="0"/>
          <w:numId w:val="1"/>
        </w:numPr>
        <w:spacing w:after="40" w:before="40" w:lineRule="auto"/>
        <w:ind w:left="720" w:hanging="360"/>
        <w:jc w:val="both"/>
      </w:pPr>
      <w:r w:rsidDel="00000000" w:rsidR="00000000" w:rsidRPr="00000000">
        <w:rPr>
          <w:rtl w:val="0"/>
        </w:rPr>
        <w:t xml:space="preserve">O sentimento expresso nas avaliações de produtos começa a melhorar antes de as vendas acelerarem — o review_momentum constitui assim um sinal antecipado independente do volume de pesquisa.</w:t>
      </w:r>
    </w:p>
    <w:p w:rsidR="00000000" w:rsidDel="00000000" w:rsidP="00000000" w:rsidRDefault="00000000" w:rsidRPr="00000000" w14:paraId="00000037">
      <w:pPr>
        <w:numPr>
          <w:ilvl w:val="0"/>
          <w:numId w:val="1"/>
        </w:numPr>
        <w:spacing w:after="40" w:before="40" w:lineRule="auto"/>
        <w:ind w:left="720" w:hanging="360"/>
        <w:jc w:val="both"/>
      </w:pPr>
      <w:r w:rsidDel="00000000" w:rsidR="00000000" w:rsidRPr="00000000">
        <w:rPr>
          <w:rtl w:val="0"/>
        </w:rPr>
        <w:t xml:space="preserve">A análise de aceleração da procura — e não apenas do crescimento absoluto — permite distinguir categorias em fase de expansão rápida de categorias em crescimento estável mas maduro, onde o potencial de crescimento marginal é menor.</w:t>
      </w:r>
    </w:p>
    <w:p w:rsidR="00000000" w:rsidDel="00000000" w:rsidP="00000000" w:rsidRDefault="00000000" w:rsidRPr="00000000" w14:paraId="00000038">
      <w:pPr>
        <w:spacing w:after="120" w:before="60" w:lineRule="auto"/>
        <w:jc w:val="both"/>
        <w:rPr/>
      </w:pPr>
      <w:r w:rsidDel="00000000" w:rsidR="00000000" w:rsidRPr="00000000">
        <w:rPr>
          <w:rtl w:val="0"/>
        </w:rPr>
        <w:t xml:space="preserve">A integração destas três fontes de dados num único sistema analítico, com capacidade preditiva validada, representa um ganho operacional significativo para qualquer retalhista que pretenda otimizar os seus investimentos em stock, marketing e desenvolvimento de produto.</w:t>
      </w:r>
    </w:p>
    <w:p w:rsidR="00000000" w:rsidDel="00000000" w:rsidP="00000000" w:rsidRDefault="00000000" w:rsidRPr="00000000" w14:paraId="00000039">
      <w:pPr>
        <w:spacing w:after="60" w:before="60" w:lineRule="auto"/>
        <w:rPr/>
      </w:pPr>
      <w:r w:rsidDel="00000000" w:rsidR="00000000" w:rsidRPr="00000000">
        <w:rPr>
          <w:rtl w:val="0"/>
        </w:rPr>
      </w:r>
    </w:p>
    <w:p w:rsidR="00000000" w:rsidDel="00000000" w:rsidP="00000000" w:rsidRDefault="00000000" w:rsidRPr="00000000" w14:paraId="0000003A">
      <w:pPr>
        <w:pStyle w:val="Heading2"/>
        <w:spacing w:after="120" w:before="240" w:lineRule="auto"/>
        <w:rPr>
          <w:color w:val="2e75b6"/>
          <w:sz w:val="26"/>
          <w:szCs w:val="26"/>
        </w:rPr>
      </w:pPr>
      <w:r w:rsidDel="00000000" w:rsidR="00000000" w:rsidRPr="00000000">
        <w:rPr>
          <w:color w:val="2e75b6"/>
          <w:sz w:val="26"/>
          <w:szCs w:val="26"/>
          <w:rtl w:val="0"/>
        </w:rPr>
        <w:t xml:space="preserve">1.3 Objetivos</w:t>
      </w:r>
    </w:p>
    <w:p w:rsidR="00000000" w:rsidDel="00000000" w:rsidP="00000000" w:rsidRDefault="00000000" w:rsidRPr="00000000" w14:paraId="0000003B">
      <w:pPr>
        <w:spacing w:after="120" w:before="60" w:lineRule="auto"/>
        <w:jc w:val="both"/>
        <w:rPr/>
      </w:pPr>
      <w:r w:rsidDel="00000000" w:rsidR="00000000" w:rsidRPr="00000000">
        <w:rPr>
          <w:rtl w:val="0"/>
        </w:rPr>
        <w:t xml:space="preserve">O sistema TrendMart 2026 tem os seguintes objetivos principais:</w:t>
      </w:r>
    </w:p>
    <w:p w:rsidR="00000000" w:rsidDel="00000000" w:rsidP="00000000" w:rsidRDefault="00000000" w:rsidRPr="00000000" w14:paraId="0000003C">
      <w:pPr>
        <w:numPr>
          <w:ilvl w:val="0"/>
          <w:numId w:val="2"/>
        </w:numPr>
        <w:spacing w:after="40" w:before="40" w:lineRule="auto"/>
        <w:ind w:left="720" w:hanging="360"/>
        <w:jc w:val="both"/>
      </w:pPr>
      <w:r w:rsidDel="00000000" w:rsidR="00000000" w:rsidRPr="00000000">
        <w:rPr>
          <w:rtl w:val="0"/>
        </w:rPr>
        <w:t xml:space="preserve">Integrar fontes de dados heterogéneas (SQL transacional, CSV de tendências de pesquisa, JSON de opiniões de clientes) numa arquitetura unificada de Data Warehouse.</w:t>
      </w:r>
    </w:p>
    <w:p w:rsidR="00000000" w:rsidDel="00000000" w:rsidP="00000000" w:rsidRDefault="00000000" w:rsidRPr="00000000" w14:paraId="0000003D">
      <w:pPr>
        <w:numPr>
          <w:ilvl w:val="0"/>
          <w:numId w:val="2"/>
        </w:numPr>
        <w:spacing w:after="40" w:before="40" w:lineRule="auto"/>
        <w:ind w:left="720" w:hanging="360"/>
        <w:jc w:val="both"/>
      </w:pPr>
      <w:r w:rsidDel="00000000" w:rsidR="00000000" w:rsidRPr="00000000">
        <w:rPr>
          <w:rtl w:val="0"/>
        </w:rPr>
        <w:t xml:space="preserve">Implementar um pipeline ETL completo que abranja as etapas de Staging, transformação, limpeza e carga no Data Warehouse.</w:t>
      </w:r>
    </w:p>
    <w:p w:rsidR="00000000" w:rsidDel="00000000" w:rsidP="00000000" w:rsidRDefault="00000000" w:rsidRPr="00000000" w14:paraId="0000003E">
      <w:pPr>
        <w:numPr>
          <w:ilvl w:val="0"/>
          <w:numId w:val="2"/>
        </w:numPr>
        <w:spacing w:after="40" w:before="40" w:lineRule="auto"/>
        <w:ind w:left="720" w:hanging="360"/>
        <w:jc w:val="both"/>
      </w:pPr>
      <w:r w:rsidDel="00000000" w:rsidR="00000000" w:rsidRPr="00000000">
        <w:rPr>
          <w:rtl w:val="0"/>
        </w:rPr>
        <w:t xml:space="preserve">Calcular métricas quantitativas de tendência, incluindo taxa de crescimento, aceleração da procura e score de alerta FAROL por categoria de produto.</w:t>
      </w:r>
    </w:p>
    <w:p w:rsidR="00000000" w:rsidDel="00000000" w:rsidP="00000000" w:rsidRDefault="00000000" w:rsidRPr="00000000" w14:paraId="0000003F">
      <w:pPr>
        <w:numPr>
          <w:ilvl w:val="0"/>
          <w:numId w:val="2"/>
        </w:numPr>
        <w:spacing w:after="40" w:before="40" w:lineRule="auto"/>
        <w:ind w:left="720" w:hanging="360"/>
        <w:jc w:val="both"/>
      </w:pPr>
      <w:r w:rsidDel="00000000" w:rsidR="00000000" w:rsidRPr="00000000">
        <w:rPr>
          <w:rtl w:val="0"/>
        </w:rPr>
        <w:t xml:space="preserve">Desenvolver e validar um modelo preditivo de aprendizagem máquina capaz de prever a procura futura por categoria com base em sinais de mercado antecipados.</w:t>
      </w:r>
    </w:p>
    <w:p w:rsidR="00000000" w:rsidDel="00000000" w:rsidP="00000000" w:rsidRDefault="00000000" w:rsidRPr="00000000" w14:paraId="00000040">
      <w:pPr>
        <w:numPr>
          <w:ilvl w:val="0"/>
          <w:numId w:val="2"/>
        </w:numPr>
        <w:spacing w:after="40" w:before="40" w:lineRule="auto"/>
        <w:ind w:left="720" w:hanging="360"/>
        <w:jc w:val="both"/>
      </w:pPr>
      <w:r w:rsidDel="00000000" w:rsidR="00000000" w:rsidRPr="00000000">
        <w:rPr>
          <w:rtl w:val="0"/>
        </w:rPr>
        <w:t xml:space="preserve">Implementar um mecanismo de auditoria e monitorização de dados em tempo real através de Change Data Capture.</w:t>
      </w:r>
    </w:p>
    <w:p w:rsidR="00000000" w:rsidDel="00000000" w:rsidP="00000000" w:rsidRDefault="00000000" w:rsidRPr="00000000" w14:paraId="00000041">
      <w:pPr>
        <w:numPr>
          <w:ilvl w:val="0"/>
          <w:numId w:val="2"/>
        </w:numPr>
        <w:spacing w:after="40" w:before="40" w:lineRule="auto"/>
        <w:ind w:left="720" w:hanging="360"/>
        <w:jc w:val="both"/>
      </w:pPr>
      <w:r w:rsidDel="00000000" w:rsidR="00000000" w:rsidRPr="00000000">
        <w:rPr>
          <w:rtl w:val="0"/>
        </w:rPr>
        <w:t xml:space="preserve">Produzir visualizações e dashboards que comuniquem os resultados de forma clara e acionável para a gestão da empresa.</w:t>
      </w:r>
    </w:p>
    <w:p w:rsidR="00000000" w:rsidDel="00000000" w:rsidP="00000000" w:rsidRDefault="00000000" w:rsidRPr="00000000" w14:paraId="00000042">
      <w:pPr>
        <w:spacing w:after="60" w:before="60" w:lineRule="auto"/>
        <w:rPr/>
      </w:pPr>
      <w:r w:rsidDel="00000000" w:rsidR="00000000" w:rsidRPr="00000000">
        <w:rPr>
          <w:rtl w:val="0"/>
        </w:rPr>
      </w:r>
    </w:p>
    <w:p w:rsidR="00000000" w:rsidDel="00000000" w:rsidP="00000000" w:rsidRDefault="00000000" w:rsidRPr="00000000" w14:paraId="00000043">
      <w:pPr>
        <w:pStyle w:val="Heading2"/>
        <w:spacing w:after="120" w:before="240" w:lineRule="auto"/>
        <w:rPr>
          <w:color w:val="2e75b6"/>
          <w:sz w:val="26"/>
          <w:szCs w:val="26"/>
        </w:rPr>
      </w:pPr>
      <w:r w:rsidDel="00000000" w:rsidR="00000000" w:rsidRPr="00000000">
        <w:rPr>
          <w:color w:val="2e75b6"/>
          <w:sz w:val="26"/>
          <w:szCs w:val="26"/>
          <w:rtl w:val="0"/>
        </w:rPr>
        <w:t xml:space="preserve">1.4 Viabilidade</w:t>
      </w:r>
    </w:p>
    <w:p w:rsidR="00000000" w:rsidDel="00000000" w:rsidP="00000000" w:rsidRDefault="00000000" w:rsidRPr="00000000" w14:paraId="00000044">
      <w:pPr>
        <w:spacing w:after="120" w:before="60" w:lineRule="auto"/>
        <w:jc w:val="both"/>
        <w:rPr/>
      </w:pPr>
      <w:r w:rsidDel="00000000" w:rsidR="00000000" w:rsidRPr="00000000">
        <w:rPr>
          <w:rtl w:val="0"/>
        </w:rPr>
        <w:t xml:space="preserve">A viabilidade do projeto foi avaliada segundo três dimensões: técnica, operacional e académica.</w:t>
      </w:r>
    </w:p>
    <w:p w:rsidR="00000000" w:rsidDel="00000000" w:rsidP="00000000" w:rsidRDefault="00000000" w:rsidRPr="00000000" w14:paraId="00000045">
      <w:pPr>
        <w:spacing w:after="120" w:before="60" w:lineRule="auto"/>
        <w:jc w:val="both"/>
        <w:rPr/>
      </w:pPr>
      <w:r w:rsidDel="00000000" w:rsidR="00000000" w:rsidRPr="00000000">
        <w:rPr>
          <w:rtl w:val="0"/>
        </w:rPr>
        <w:t xml:space="preserve">Do ponto de vista técnico, todas as ferramentas utilizadas são open source e de acesso gratuito: PostgreSQL como sistema de gestão de base de dados relacional, Python com as bibliotecas pandas, scikit-learn e XGBoost para processamento e modelação, e matplotlib para visualização. A integração entre estas tecnologias é bem documentada e amplamente suportada pela comunidade, reduzindo o risco técnico do projeto.</w:t>
      </w:r>
    </w:p>
    <w:p w:rsidR="00000000" w:rsidDel="00000000" w:rsidP="00000000" w:rsidRDefault="00000000" w:rsidRPr="00000000" w14:paraId="00000046">
      <w:pPr>
        <w:spacing w:after="120" w:before="60" w:lineRule="auto"/>
        <w:jc w:val="both"/>
        <w:rPr/>
      </w:pPr>
      <w:r w:rsidDel="00000000" w:rsidR="00000000" w:rsidRPr="00000000">
        <w:rPr>
          <w:rtl w:val="0"/>
        </w:rPr>
        <w:t xml:space="preserve">Do ponto de vista operacional, o sistema processa 110 mil registos transacionais em conjunto com 18 mil registos de tendências e 18 mil registos de reviews num tempo total de execução inferior a dois minutos, demonstrando viabilidade para volumes de dados de média dimensão sem necessidade de infraestrutura distribuída. A pipeline é completamente automatizada e reproduzível a partir de um único comando.</w:t>
      </w:r>
    </w:p>
    <w:p w:rsidR="00000000" w:rsidDel="00000000" w:rsidP="00000000" w:rsidRDefault="00000000" w:rsidRPr="00000000" w14:paraId="00000047">
      <w:pPr>
        <w:spacing w:after="120" w:before="60" w:lineRule="auto"/>
        <w:jc w:val="both"/>
        <w:rPr/>
      </w:pPr>
      <w:r w:rsidDel="00000000" w:rsidR="00000000" w:rsidRPr="00000000">
        <w:rPr>
          <w:rtl w:val="0"/>
        </w:rPr>
        <w:t xml:space="preserve">Do ponto de vista académico, o sistema cobre todos os requisitos do enunciado: dados heterogéneos de pelo menos duas fontes distintas, métricas quantitativas de tendência, técnicas de análise de séries temporais, avaliação de desempenho com métricas apropriadas e análise crítica dos resultados.</w:t>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pBdr>
          <w:bottom w:color="2e75b6" w:space="1" w:sz="6" w:val="single"/>
        </w:pBdr>
        <w:spacing w:after="180" w:lineRule="auto"/>
        <w:rPr>
          <w:color w:val="1f3864"/>
        </w:rPr>
      </w:pPr>
      <w:r w:rsidDel="00000000" w:rsidR="00000000" w:rsidRPr="00000000">
        <w:rPr>
          <w:color w:val="1f3864"/>
          <w:rtl w:val="0"/>
        </w:rPr>
        <w:t xml:space="preserve">2. Arquitetura e Plano do Sistema</w:t>
      </w:r>
    </w:p>
    <w:p w:rsidR="00000000" w:rsidDel="00000000" w:rsidP="00000000" w:rsidRDefault="00000000" w:rsidRPr="00000000" w14:paraId="0000004A">
      <w:pPr>
        <w:pStyle w:val="Heading2"/>
        <w:spacing w:after="120" w:before="240" w:lineRule="auto"/>
        <w:rPr>
          <w:color w:val="2e75b6"/>
          <w:sz w:val="26"/>
          <w:szCs w:val="26"/>
        </w:rPr>
      </w:pPr>
      <w:r w:rsidDel="00000000" w:rsidR="00000000" w:rsidRPr="00000000">
        <w:rPr>
          <w:color w:val="2e75b6"/>
          <w:sz w:val="26"/>
          <w:szCs w:val="26"/>
          <w:rtl w:val="0"/>
        </w:rPr>
        <w:t xml:space="preserve">2.1 Visão Geral da Arquitetura</w:t>
      </w:r>
    </w:p>
    <w:p w:rsidR="00000000" w:rsidDel="00000000" w:rsidP="00000000" w:rsidRDefault="00000000" w:rsidRPr="00000000" w14:paraId="0000004B">
      <w:pPr>
        <w:spacing w:after="120" w:before="60" w:lineRule="auto"/>
        <w:jc w:val="both"/>
        <w:rPr/>
      </w:pPr>
      <w:r w:rsidDel="00000000" w:rsidR="00000000" w:rsidRPr="00000000">
        <w:rPr>
          <w:rtl w:val="0"/>
        </w:rPr>
        <w:t xml:space="preserve">A arquitetura do sistema TrendMart 2026 organiza-se em três camadas funcionais distintas, implementadas sequencialmente numa pipeline automatizada de cinco passos. O diagrama BPMN apresentado na Figura 1 ilustra o fluxo completo de dados e processamento ao longo das três camadas.</w:t>
      </w:r>
    </w:p>
    <w:p w:rsidR="00000000" w:rsidDel="00000000" w:rsidP="00000000" w:rsidRDefault="00000000" w:rsidRPr="00000000" w14:paraId="0000004C">
      <w:pPr>
        <w:spacing w:after="60" w:before="6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60.0" w:type="dxa"/>
              <w:left w:w="200.0" w:type="dxa"/>
              <w:bottom w:w="160.0" w:type="dxa"/>
              <w:right w:w="200.0" w:type="dxa"/>
            </w:tcMar>
          </w:tcPr>
          <w:p w:rsidR="00000000" w:rsidDel="00000000" w:rsidP="00000000" w:rsidRDefault="00000000" w:rsidRPr="00000000" w14:paraId="0000004D">
            <w:pPr>
              <w:spacing w:after="60" w:lineRule="auto"/>
              <w:rPr/>
            </w:pPr>
            <w:r w:rsidDel="00000000" w:rsidR="00000000" w:rsidRPr="00000000">
              <w:rPr>
                <w:b w:val="1"/>
                <w:bCs w:val="1"/>
                <w:color w:val="1f3864"/>
                <w:rtl w:val="0"/>
              </w:rPr>
              <w:t xml:space="preserve">Camada 1 — Ingestão e Staging</w:t>
            </w: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Receção e armazenamento temporário de todas as fontes de dados. Os ficheiros CSV do dataset Olist, o CSV de Google Trends e o JSON de reviews são carregados em tabelas staging_* no PostgreSQL. Esta camada preserva os dados originais e permite reprocessamento.</w:t>
            </w:r>
          </w:p>
        </w:tc>
      </w:tr>
    </w:tbl>
    <w:p w:rsidR="00000000" w:rsidDel="00000000" w:rsidP="00000000" w:rsidRDefault="00000000" w:rsidRPr="00000000" w14:paraId="0000004F">
      <w:pPr>
        <w:spacing w:after="60" w:before="6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160.0" w:type="dxa"/>
              <w:left w:w="200.0" w:type="dxa"/>
              <w:bottom w:w="160.0" w:type="dxa"/>
              <w:right w:w="200.0" w:type="dxa"/>
            </w:tcMar>
          </w:tcPr>
          <w:p w:rsidR="00000000" w:rsidDel="00000000" w:rsidP="00000000" w:rsidRDefault="00000000" w:rsidRPr="00000000" w14:paraId="00000050">
            <w:pPr>
              <w:spacing w:after="60" w:lineRule="auto"/>
              <w:rPr/>
            </w:pPr>
            <w:r w:rsidDel="00000000" w:rsidR="00000000" w:rsidRPr="00000000">
              <w:rPr>
                <w:b w:val="1"/>
                <w:bCs w:val="1"/>
                <w:color w:val="1f3864"/>
                <w:rtl w:val="0"/>
              </w:rPr>
              <w:t xml:space="preserve">Camada 2 — Data Warehouse PostgreSQL</w:t>
            </w: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Construção do Star Schema com 6 dimensões + fact_sales (110k registos). Inclui dim_trend e dim_review como extensões analíticas. O CDC via trigger PL/pgSQL audita todos os INSERTs em tempo real na cdc_audit_log.</w:t>
            </w:r>
          </w:p>
        </w:tc>
      </w:tr>
    </w:tbl>
    <w:p w:rsidR="00000000" w:rsidDel="00000000" w:rsidP="00000000" w:rsidRDefault="00000000" w:rsidRPr="00000000" w14:paraId="00000052">
      <w:pPr>
        <w:spacing w:after="60" w:before="6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160.0" w:type="dxa"/>
              <w:left w:w="200.0" w:type="dxa"/>
              <w:bottom w:w="160.0" w:type="dxa"/>
              <w:right w:w="200.0" w:type="dxa"/>
            </w:tcMar>
          </w:tcPr>
          <w:p w:rsidR="00000000" w:rsidDel="00000000" w:rsidP="00000000" w:rsidRDefault="00000000" w:rsidRPr="00000000" w14:paraId="00000053">
            <w:pPr>
              <w:spacing w:after="60" w:lineRule="auto"/>
              <w:rPr/>
            </w:pPr>
            <w:r w:rsidDel="00000000" w:rsidR="00000000" w:rsidRPr="00000000">
              <w:rPr>
                <w:b w:val="1"/>
                <w:bCs w:val="1"/>
                <w:color w:val="1f3864"/>
                <w:rtl w:val="0"/>
              </w:rPr>
              <w:t xml:space="preserve">Camada 3 — IA e Output</w:t>
            </w: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Feature engineering preditiva, treino e validação do XGBoost Farol com TimeSeriesSplit, cálculo do FAROL score e geração automática do dashboard de 6 gráficos. Todo o acesso aos dados é feito via SQL sobre o DW.</w:t>
            </w:r>
          </w:p>
        </w:tc>
      </w:tr>
    </w:tbl>
    <w:p w:rsidR="00000000" w:rsidDel="00000000" w:rsidP="00000000" w:rsidRDefault="00000000" w:rsidRPr="00000000" w14:paraId="00000055">
      <w:pPr>
        <w:spacing w:after="60" w:before="60" w:lineRule="auto"/>
        <w:rPr/>
      </w:pPr>
      <w:r w:rsidDel="00000000" w:rsidR="00000000" w:rsidRPr="00000000">
        <w:rPr>
          <w:rtl w:val="0"/>
        </w:rPr>
      </w:r>
    </w:p>
    <w:p w:rsidR="00000000" w:rsidDel="00000000" w:rsidP="00000000" w:rsidRDefault="00000000" w:rsidRPr="00000000" w14:paraId="00000056">
      <w:pPr>
        <w:pStyle w:val="Heading2"/>
        <w:spacing w:after="120" w:before="240" w:lineRule="auto"/>
        <w:rPr>
          <w:color w:val="2e75b6"/>
          <w:sz w:val="26"/>
          <w:szCs w:val="26"/>
        </w:rPr>
      </w:pPr>
      <w:r w:rsidDel="00000000" w:rsidR="00000000" w:rsidRPr="00000000">
        <w:rPr>
          <w:color w:val="2e75b6"/>
          <w:sz w:val="26"/>
          <w:szCs w:val="26"/>
          <w:rtl w:val="0"/>
        </w:rPr>
        <w:t xml:space="preserve">2.2 Fontes de Dados e Justificação</w:t>
      </w:r>
    </w:p>
    <w:p w:rsidR="00000000" w:rsidDel="00000000" w:rsidP="00000000" w:rsidRDefault="00000000" w:rsidRPr="00000000" w14:paraId="00000057">
      <w:pPr>
        <w:spacing w:after="120" w:before="60" w:lineRule="auto"/>
        <w:jc w:val="both"/>
        <w:rPr/>
      </w:pPr>
      <w:r w:rsidDel="00000000" w:rsidR="00000000" w:rsidRPr="00000000">
        <w:rPr>
          <w:rtl w:val="0"/>
        </w:rPr>
        <w:t xml:space="preserve">O sistema integra três fontes de dados de natureza distinta, em consonância com o requisito de arquitetura heterogénea estabelecido no enunciado.</w:t>
      </w:r>
    </w:p>
    <w:p w:rsidR="00000000" w:rsidDel="00000000" w:rsidP="00000000" w:rsidRDefault="00000000" w:rsidRPr="00000000" w14:paraId="00000058">
      <w:pPr>
        <w:pStyle w:val="Heading3"/>
        <w:spacing w:after="80" w:before="160" w:lineRule="auto"/>
        <w:rPr>
          <w:color w:val="374151"/>
        </w:rPr>
      </w:pPr>
      <w:r w:rsidDel="00000000" w:rsidR="00000000" w:rsidRPr="00000000">
        <w:rPr>
          <w:color w:val="374151"/>
          <w:rtl w:val="0"/>
        </w:rPr>
        <w:t xml:space="preserve">Dados Transacionais de Vendas (SQL / CSV estruturado)</w:t>
      </w:r>
    </w:p>
    <w:p w:rsidR="00000000" w:rsidDel="00000000" w:rsidP="00000000" w:rsidRDefault="00000000" w:rsidRPr="00000000" w14:paraId="00000059">
      <w:pPr>
        <w:spacing w:after="120" w:before="60" w:lineRule="auto"/>
        <w:jc w:val="both"/>
        <w:rPr/>
      </w:pPr>
      <w:r w:rsidDel="00000000" w:rsidR="00000000" w:rsidRPr="00000000">
        <w:rPr>
          <w:rtl w:val="0"/>
        </w:rPr>
        <w:t xml:space="preserve">Provenientes do dataset Brazilian E-Commerce da Olist, estes dados são estruturados, de natureza relacional, e cobrem informação sobre pedidos, itens, produtos, clientes e vendedores num período de dois anos (2016—2018). Com 110 mil registos de vendas distribuídos por 74 categorias de produtos, constituem a fonte de verdade para o volume de vendas histórico e a base de treino do modelo preditivo. O dataset é amplamente utilizado na comunidade académica e constitui uma referência de qualidade para projetos de análise de dados de e-commerce.</w:t>
      </w:r>
    </w:p>
    <w:p w:rsidR="00000000" w:rsidDel="00000000" w:rsidP="00000000" w:rsidRDefault="00000000" w:rsidRPr="00000000" w14:paraId="0000005A">
      <w:pPr>
        <w:pStyle w:val="Heading3"/>
        <w:spacing w:after="80" w:before="160" w:lineRule="auto"/>
        <w:rPr>
          <w:color w:val="374151"/>
        </w:rPr>
      </w:pPr>
      <w:r w:rsidDel="00000000" w:rsidR="00000000" w:rsidRPr="00000000">
        <w:rPr>
          <w:color w:val="374151"/>
          <w:rtl w:val="0"/>
        </w:rPr>
        <w:t xml:space="preserve">Dados de Volume de Pesquisa Online (CSV semi-estruturado)</w:t>
      </w:r>
    </w:p>
    <w:p w:rsidR="00000000" w:rsidDel="00000000" w:rsidP="00000000" w:rsidRDefault="00000000" w:rsidRPr="00000000" w14:paraId="0000005B">
      <w:pPr>
        <w:spacing w:after="120" w:before="60" w:lineRule="auto"/>
        <w:jc w:val="both"/>
        <w:rPr/>
      </w:pPr>
      <w:r w:rsidDel="00000000" w:rsidR="00000000" w:rsidRPr="00000000">
        <w:rPr>
          <w:rtl w:val="0"/>
        </w:rPr>
        <w:t xml:space="preserve">Os dados de tendências simulam a informação disponível na Google Search Console ou no Google Trends. Foram gerados sinteticamente com perfis de comportamento temporal realistas: categorias emergentes apresentam curva de crescimento acelerado com expoente 1,5 (t^1.5), categorias sazonais apresentam pico nos meses de maior procura (Outubro—Dezembro para eletrónica, Junho—Agosto para bebidas), e o sinal de pesquisa está deslocado três períodos temporais à esquerda relativamente ao sinal de vendas, simulando o comportamento real em que os consumidores pesquisam antes de comprar.</w:t>
      </w:r>
    </w:p>
    <w:p w:rsidR="00000000" w:rsidDel="00000000" w:rsidP="00000000" w:rsidRDefault="00000000" w:rsidRPr="00000000" w14:paraId="0000005C">
      <w:pPr>
        <w:pStyle w:val="Heading3"/>
        <w:spacing w:after="80" w:before="160" w:lineRule="auto"/>
        <w:rPr>
          <w:color w:val="374151"/>
        </w:rPr>
      </w:pPr>
      <w:r w:rsidDel="00000000" w:rsidR="00000000" w:rsidRPr="00000000">
        <w:rPr>
          <w:color w:val="374151"/>
          <w:rtl w:val="0"/>
        </w:rPr>
        <w:t xml:space="preserve">Dados de Opiniões de Clientes (JSON não estruturado)</w:t>
      </w:r>
    </w:p>
    <w:p w:rsidR="00000000" w:rsidDel="00000000" w:rsidP="00000000" w:rsidRDefault="00000000" w:rsidRPr="00000000" w14:paraId="0000005D">
      <w:pPr>
        <w:spacing w:after="120" w:before="60" w:lineRule="auto"/>
        <w:jc w:val="both"/>
        <w:rPr/>
      </w:pPr>
      <w:r w:rsidDel="00000000" w:rsidR="00000000" w:rsidRPr="00000000">
        <w:rPr>
          <w:rtl w:val="0"/>
        </w:rPr>
        <w:t xml:space="preserve">As opiniões de clientes foram geradas em formato JSON com perfis de sentimento por categoria. Cada registo inclui a pontuação média de avaliação, o volume de comentários, um sentiment_score normalizado entre 0 e 100, e uma métrica de review_momentum que captura a aceleração do sentimento ao longo do tempo. Categorias emergentes apresentam trajetórias de sentimento ascendente (de 3,2 para 4,6 ao longo do tempo), enquanto categorias em declínio apresentam trajetórias descendentes.</w:t>
      </w:r>
    </w:p>
    <w:p w:rsidR="00000000" w:rsidDel="00000000" w:rsidP="00000000" w:rsidRDefault="00000000" w:rsidRPr="00000000" w14:paraId="0000005E">
      <w:pPr>
        <w:spacing w:after="60" w:before="60" w:lineRule="auto"/>
        <w:rPr/>
      </w:pPr>
      <w:r w:rsidDel="00000000" w:rsidR="00000000" w:rsidRPr="00000000">
        <w:rPr>
          <w:rtl w:val="0"/>
        </w:rPr>
      </w:r>
    </w:p>
    <w:p w:rsidR="00000000" w:rsidDel="00000000" w:rsidP="00000000" w:rsidRDefault="00000000" w:rsidRPr="00000000" w14:paraId="0000005F">
      <w:pPr>
        <w:pStyle w:val="Heading2"/>
        <w:spacing w:after="120" w:before="240" w:lineRule="auto"/>
        <w:rPr>
          <w:color w:val="2e75b6"/>
          <w:sz w:val="26"/>
          <w:szCs w:val="26"/>
        </w:rPr>
      </w:pPr>
      <w:r w:rsidDel="00000000" w:rsidR="00000000" w:rsidRPr="00000000">
        <w:rPr>
          <w:color w:val="2e75b6"/>
          <w:sz w:val="26"/>
          <w:szCs w:val="26"/>
          <w:rtl w:val="0"/>
        </w:rPr>
        <w:t xml:space="preserve">2.3 Requisitos do Sistema</w:t>
      </w:r>
    </w:p>
    <w:p w:rsidR="00000000" w:rsidDel="00000000" w:rsidP="00000000" w:rsidRDefault="00000000" w:rsidRPr="00000000" w14:paraId="00000060">
      <w:pPr>
        <w:pStyle w:val="Heading3"/>
        <w:spacing w:after="80" w:before="160" w:lineRule="auto"/>
        <w:rPr>
          <w:color w:val="374151"/>
        </w:rPr>
      </w:pPr>
      <w:r w:rsidDel="00000000" w:rsidR="00000000" w:rsidRPr="00000000">
        <w:rPr>
          <w:color w:val="374151"/>
          <w:rtl w:val="0"/>
        </w:rPr>
        <w:t xml:space="preserve">Requisitos Funcionais</w:t>
      </w:r>
    </w:p>
    <w:p w:rsidR="00000000" w:rsidDel="00000000" w:rsidP="00000000" w:rsidRDefault="00000000" w:rsidRPr="00000000" w14:paraId="00000061">
      <w:pPr>
        <w:numPr>
          <w:ilvl w:val="0"/>
          <w:numId w:val="1"/>
        </w:numPr>
        <w:spacing w:after="40" w:before="40" w:lineRule="auto"/>
        <w:ind w:left="720" w:hanging="360"/>
        <w:jc w:val="both"/>
      </w:pPr>
      <w:r w:rsidDel="00000000" w:rsidR="00000000" w:rsidRPr="00000000">
        <w:rPr>
          <w:rtl w:val="0"/>
        </w:rPr>
        <w:t xml:space="preserve">Ingerir dados de múltiplas fontes heterogéneas de forma automatizada e reproduzível</w:t>
      </w:r>
    </w:p>
    <w:p w:rsidR="00000000" w:rsidDel="00000000" w:rsidP="00000000" w:rsidRDefault="00000000" w:rsidRPr="00000000" w14:paraId="00000062">
      <w:pPr>
        <w:numPr>
          <w:ilvl w:val="0"/>
          <w:numId w:val="1"/>
        </w:numPr>
        <w:spacing w:after="40" w:before="40" w:lineRule="auto"/>
        <w:ind w:left="720" w:hanging="360"/>
        <w:jc w:val="both"/>
      </w:pPr>
      <w:r w:rsidDel="00000000" w:rsidR="00000000" w:rsidRPr="00000000">
        <w:rPr>
          <w:rtl w:val="0"/>
        </w:rPr>
        <w:t xml:space="preserve">Transformar e estruturar os dados num modelo dimensional otimizado para análise</w:t>
      </w:r>
    </w:p>
    <w:p w:rsidR="00000000" w:rsidDel="00000000" w:rsidP="00000000" w:rsidRDefault="00000000" w:rsidRPr="00000000" w14:paraId="00000063">
      <w:pPr>
        <w:numPr>
          <w:ilvl w:val="0"/>
          <w:numId w:val="1"/>
        </w:numPr>
        <w:spacing w:after="40" w:before="40" w:lineRule="auto"/>
        <w:ind w:left="720" w:hanging="360"/>
        <w:jc w:val="both"/>
      </w:pPr>
      <w:r w:rsidDel="00000000" w:rsidR="00000000" w:rsidRPr="00000000">
        <w:rPr>
          <w:rtl w:val="0"/>
        </w:rPr>
        <w:t xml:space="preserve">Calcular métricas quantitativas de tendência por categoria de produto e por período temporal</w:t>
      </w:r>
    </w:p>
    <w:p w:rsidR="00000000" w:rsidDel="00000000" w:rsidP="00000000" w:rsidRDefault="00000000" w:rsidRPr="00000000" w14:paraId="00000064">
      <w:pPr>
        <w:numPr>
          <w:ilvl w:val="0"/>
          <w:numId w:val="1"/>
        </w:numPr>
        <w:spacing w:after="40" w:before="40" w:lineRule="auto"/>
        <w:ind w:left="720" w:hanging="360"/>
        <w:jc w:val="both"/>
      </w:pPr>
      <w:r w:rsidDel="00000000" w:rsidR="00000000" w:rsidRPr="00000000">
        <w:rPr>
          <w:rtl w:val="0"/>
        </w:rPr>
        <w:t xml:space="preserve">Prever o volume de vendas futuro com base em sinais de mercado antecipados</w:t>
      </w:r>
    </w:p>
    <w:p w:rsidR="00000000" w:rsidDel="00000000" w:rsidP="00000000" w:rsidRDefault="00000000" w:rsidRPr="00000000" w14:paraId="00000065">
      <w:pPr>
        <w:numPr>
          <w:ilvl w:val="0"/>
          <w:numId w:val="1"/>
        </w:numPr>
        <w:spacing w:after="40" w:before="40" w:lineRule="auto"/>
        <w:ind w:left="720" w:hanging="360"/>
        <w:jc w:val="both"/>
      </w:pPr>
      <w:r w:rsidDel="00000000" w:rsidR="00000000" w:rsidRPr="00000000">
        <w:rPr>
          <w:rtl w:val="0"/>
        </w:rPr>
        <w:t xml:space="preserve">Detectar categorias com comportamento de tendência emergente e gerar alertas quantificados (FAROL)</w:t>
      </w:r>
    </w:p>
    <w:p w:rsidR="00000000" w:rsidDel="00000000" w:rsidP="00000000" w:rsidRDefault="00000000" w:rsidRPr="00000000" w14:paraId="00000066">
      <w:pPr>
        <w:numPr>
          <w:ilvl w:val="0"/>
          <w:numId w:val="1"/>
        </w:numPr>
        <w:spacing w:after="40" w:before="40" w:lineRule="auto"/>
        <w:ind w:left="720" w:hanging="360"/>
        <w:jc w:val="both"/>
      </w:pPr>
      <w:r w:rsidDel="00000000" w:rsidR="00000000" w:rsidRPr="00000000">
        <w:rPr>
          <w:rtl w:val="0"/>
        </w:rPr>
        <w:t xml:space="preserve">Monitorizar a integridade do pipeline em tempo real através de auditoria automática (CDC)</w:t>
      </w:r>
    </w:p>
    <w:p w:rsidR="00000000" w:rsidDel="00000000" w:rsidP="00000000" w:rsidRDefault="00000000" w:rsidRPr="00000000" w14:paraId="00000067">
      <w:pPr>
        <w:pStyle w:val="Heading3"/>
        <w:spacing w:after="80" w:before="160" w:lineRule="auto"/>
        <w:rPr>
          <w:color w:val="374151"/>
        </w:rPr>
      </w:pPr>
      <w:r w:rsidDel="00000000" w:rsidR="00000000" w:rsidRPr="00000000">
        <w:rPr>
          <w:color w:val="374151"/>
          <w:rtl w:val="0"/>
        </w:rPr>
        <w:t xml:space="preserve">Requisitos Não Funcionais</w:t>
      </w:r>
    </w:p>
    <w:p w:rsidR="00000000" w:rsidDel="00000000" w:rsidP="00000000" w:rsidRDefault="00000000" w:rsidRPr="00000000" w14:paraId="00000068">
      <w:pPr>
        <w:numPr>
          <w:ilvl w:val="0"/>
          <w:numId w:val="1"/>
        </w:numPr>
        <w:spacing w:after="40" w:before="40" w:lineRule="auto"/>
        <w:ind w:left="720" w:hanging="360"/>
        <w:jc w:val="both"/>
      </w:pPr>
      <w:r w:rsidDel="00000000" w:rsidR="00000000" w:rsidRPr="00000000">
        <w:rPr>
          <w:rtl w:val="0"/>
        </w:rPr>
        <w:t xml:space="preserve">Tempo de execução total do pipeline inferior a dois minutos para o volume de dados atual</w:t>
      </w:r>
    </w:p>
    <w:p w:rsidR="00000000" w:rsidDel="00000000" w:rsidP="00000000" w:rsidRDefault="00000000" w:rsidRPr="00000000" w14:paraId="00000069">
      <w:pPr>
        <w:numPr>
          <w:ilvl w:val="0"/>
          <w:numId w:val="1"/>
        </w:numPr>
        <w:spacing w:after="40" w:before="40" w:lineRule="auto"/>
        <w:ind w:left="720" w:hanging="360"/>
        <w:jc w:val="both"/>
      </w:pPr>
      <w:r w:rsidDel="00000000" w:rsidR="00000000" w:rsidRPr="00000000">
        <w:rPr>
          <w:rtl w:val="0"/>
        </w:rPr>
        <w:t xml:space="preserve">Capacidade de reprocessamento integral dos dados a partir da camada de staging</w:t>
      </w:r>
    </w:p>
    <w:p w:rsidR="00000000" w:rsidDel="00000000" w:rsidP="00000000" w:rsidRDefault="00000000" w:rsidRPr="00000000" w14:paraId="0000006A">
      <w:pPr>
        <w:numPr>
          <w:ilvl w:val="0"/>
          <w:numId w:val="1"/>
        </w:numPr>
        <w:spacing w:after="40" w:before="40" w:lineRule="auto"/>
        <w:ind w:left="720" w:hanging="360"/>
        <w:jc w:val="both"/>
      </w:pPr>
      <w:r w:rsidDel="00000000" w:rsidR="00000000" w:rsidRPr="00000000">
        <w:rPr>
          <w:rtl w:val="0"/>
        </w:rPr>
        <w:t xml:space="preserve">Rastreabilidade completa de todos os eventos de inserção no Data Warehouse</w:t>
      </w:r>
    </w:p>
    <w:p w:rsidR="00000000" w:rsidDel="00000000" w:rsidP="00000000" w:rsidRDefault="00000000" w:rsidRPr="00000000" w14:paraId="0000006B">
      <w:pPr>
        <w:numPr>
          <w:ilvl w:val="0"/>
          <w:numId w:val="1"/>
        </w:numPr>
        <w:spacing w:after="40" w:before="40" w:lineRule="auto"/>
        <w:ind w:left="720" w:hanging="360"/>
        <w:jc w:val="both"/>
      </w:pPr>
      <w:r w:rsidDel="00000000" w:rsidR="00000000" w:rsidRPr="00000000">
        <w:rPr>
          <w:rtl w:val="0"/>
        </w:rPr>
        <w:t xml:space="preserve">Produção automática de visualizações exportáveis em formato PNG</w:t>
      </w:r>
    </w:p>
    <w:p w:rsidR="00000000" w:rsidDel="00000000" w:rsidP="00000000" w:rsidRDefault="00000000" w:rsidRPr="00000000" w14:paraId="0000006C">
      <w:pPr>
        <w:pStyle w:val="Heading3"/>
        <w:spacing w:after="80" w:before="160" w:lineRule="auto"/>
        <w:rPr>
          <w:color w:val="374151"/>
        </w:rPr>
      </w:pPr>
      <w:r w:rsidDel="00000000" w:rsidR="00000000" w:rsidRPr="00000000">
        <w:rPr>
          <w:color w:val="374151"/>
          <w:rtl w:val="0"/>
        </w:rPr>
        <w:t xml:space="preserve">Perfis de Utilizador</w:t>
      </w:r>
    </w:p>
    <w:p w:rsidR="00000000" w:rsidDel="00000000" w:rsidP="00000000" w:rsidRDefault="00000000" w:rsidRPr="00000000" w14:paraId="0000006D">
      <w:pPr>
        <w:spacing w:after="120" w:before="60" w:lineRule="auto"/>
        <w:jc w:val="both"/>
        <w:rPr/>
      </w:pPr>
      <w:r w:rsidDel="00000000" w:rsidR="00000000" w:rsidRPr="00000000">
        <w:rPr>
          <w:rtl w:val="0"/>
        </w:rPr>
        <w:t xml:space="preserve">O sistema contempla três perfis de utilizador distintos:</w:t>
      </w:r>
    </w:p>
    <w:p w:rsidR="00000000" w:rsidDel="00000000" w:rsidP="00000000" w:rsidRDefault="00000000" w:rsidRPr="00000000" w14:paraId="0000006E">
      <w:pPr>
        <w:numPr>
          <w:ilvl w:val="0"/>
          <w:numId w:val="1"/>
        </w:numPr>
        <w:spacing w:after="40" w:before="40" w:lineRule="auto"/>
        <w:ind w:left="720" w:hanging="360"/>
        <w:jc w:val="both"/>
      </w:pPr>
      <w:r w:rsidDel="00000000" w:rsidR="00000000" w:rsidRPr="00000000">
        <w:rPr>
          <w:rtl w:val="0"/>
        </w:rPr>
        <w:t xml:space="preserve">Gestor de Produto: utilizador final do dashboard, interessado no ranking FAROL e nas categorias com crescimento e aceleração. Não necessita de conhecimentos técnicos para interpretar os resultados.</w:t>
      </w:r>
    </w:p>
    <w:p w:rsidR="00000000" w:rsidDel="00000000" w:rsidP="00000000" w:rsidRDefault="00000000" w:rsidRPr="00000000" w14:paraId="0000006F">
      <w:pPr>
        <w:numPr>
          <w:ilvl w:val="0"/>
          <w:numId w:val="1"/>
        </w:numPr>
        <w:spacing w:after="40" w:before="40" w:lineRule="auto"/>
        <w:ind w:left="720" w:hanging="360"/>
        <w:jc w:val="both"/>
      </w:pPr>
      <w:r w:rsidDel="00000000" w:rsidR="00000000" w:rsidRPr="00000000">
        <w:rPr>
          <w:rtl w:val="0"/>
        </w:rPr>
        <w:t xml:space="preserve">Analista de Dados: responsável pela manutenção e atualização do pipeline, com acesso ao terminal e ao pgAdmin para monitorização do CDC e verificação das tabelas do DW.</w:t>
      </w:r>
    </w:p>
    <w:p w:rsidR="00000000" w:rsidDel="00000000" w:rsidP="00000000" w:rsidRDefault="00000000" w:rsidRPr="00000000" w14:paraId="00000070">
      <w:pPr>
        <w:numPr>
          <w:ilvl w:val="0"/>
          <w:numId w:val="1"/>
        </w:numPr>
        <w:spacing w:after="40" w:before="40" w:lineRule="auto"/>
        <w:ind w:left="720" w:hanging="360"/>
        <w:jc w:val="both"/>
      </w:pPr>
      <w:r w:rsidDel="00000000" w:rsidR="00000000" w:rsidRPr="00000000">
        <w:rPr>
          <w:rtl w:val="0"/>
        </w:rPr>
        <w:t xml:space="preserve">Cientista de Dados: responsável pelo desenvolvimento e validação do modelo preditivo, com acesso completo ao código Python e às métricas de avaliação. Pode ajustar os hiperparâmetros do XGBoost e adicionar novas features ao modelo.</w:t>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pBdr>
          <w:bottom w:color="2e75b6" w:space="1" w:sz="6" w:val="single"/>
        </w:pBdr>
        <w:spacing w:after="180" w:lineRule="auto"/>
        <w:rPr>
          <w:color w:val="1f3864"/>
        </w:rPr>
      </w:pPr>
      <w:r w:rsidDel="00000000" w:rsidR="00000000" w:rsidRPr="00000000">
        <w:rPr>
          <w:color w:val="1f3864"/>
          <w:rtl w:val="0"/>
        </w:rPr>
        <w:t xml:space="preserve">3. Modelação e Implementação</w:t>
      </w:r>
    </w:p>
    <w:p w:rsidR="00000000" w:rsidDel="00000000" w:rsidP="00000000" w:rsidRDefault="00000000" w:rsidRPr="00000000" w14:paraId="00000073">
      <w:pPr>
        <w:pStyle w:val="Heading2"/>
        <w:spacing w:after="120" w:before="240" w:lineRule="auto"/>
        <w:rPr>
          <w:color w:val="2e75b6"/>
          <w:sz w:val="26"/>
          <w:szCs w:val="26"/>
        </w:rPr>
      </w:pPr>
      <w:r w:rsidDel="00000000" w:rsidR="00000000" w:rsidRPr="00000000">
        <w:rPr>
          <w:color w:val="2e75b6"/>
          <w:sz w:val="26"/>
          <w:szCs w:val="26"/>
          <w:rtl w:val="0"/>
        </w:rPr>
        <w:t xml:space="preserve">3.1 Modelo Dimensional — Star Schema</w:t>
      </w:r>
    </w:p>
    <w:p w:rsidR="00000000" w:rsidDel="00000000" w:rsidP="00000000" w:rsidRDefault="00000000" w:rsidRPr="00000000" w14:paraId="00000074">
      <w:pPr>
        <w:spacing w:after="120" w:before="60" w:lineRule="auto"/>
        <w:jc w:val="both"/>
        <w:rPr/>
      </w:pPr>
      <w:r w:rsidDel="00000000" w:rsidR="00000000" w:rsidRPr="00000000">
        <w:rPr>
          <w:rtl w:val="0"/>
        </w:rPr>
        <w:t xml:space="preserve">O Data Warehouse foi implementado em PostgreSQL segundo o modelo dimensional Star Schema, com uma tabela de factos central e seis dimensões. Esta estrutura é otimizada para consultas analíticas que agregam dados ao longo de múltiplas dimensões — neste caso, tempo, produto, cliente e vendedor — com desempenho superior ao modelo relacional normalizado para cargas de leitura intensiva.</w:t>
      </w:r>
    </w:p>
    <w:p w:rsidR="00000000" w:rsidDel="00000000" w:rsidP="00000000" w:rsidRDefault="00000000" w:rsidRPr="00000000" w14:paraId="00000075">
      <w:pPr>
        <w:spacing w:after="60" w:before="60" w:lineRule="auto"/>
        <w:rPr/>
      </w:pPr>
      <w:r w:rsidDel="00000000" w:rsidR="00000000" w:rsidRPr="00000000">
        <w:rPr>
          <w:rtl w:val="0"/>
        </w:rPr>
      </w:r>
    </w:p>
    <w:tbl>
      <w:tblPr>
        <w:tblStyle w:val="Table4"/>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9"/>
        <w:gridCol w:w="5866"/>
        <w:tblGridChange w:id="0">
          <w:tblGrid>
            <w:gridCol w:w="3159"/>
            <w:gridCol w:w="586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b w:val="1"/>
                <w:bCs w:val="1"/>
                <w:color w:val="ffffff"/>
                <w:sz w:val="20"/>
                <w:szCs w:val="20"/>
                <w:rtl w:val="0"/>
              </w:rPr>
              <w:t xml:space="preserve">Tabela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b w:val="1"/>
                <w:bCs w:val="1"/>
                <w:color w:val="ffffff"/>
                <w:sz w:val="20"/>
                <w:szCs w:val="20"/>
                <w:rtl w:val="0"/>
              </w:rPr>
              <w:t xml:space="preserve">Descrição e Conteúdo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sz w:val="20"/>
                <w:szCs w:val="20"/>
                <w:rtl w:val="0"/>
              </w:rPr>
              <w:t xml:space="preserve">fact_sales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sz w:val="20"/>
                <w:szCs w:val="20"/>
                <w:rtl w:val="0"/>
              </w:rPr>
              <w:t xml:space="preserve">110.197 registos de vendas com chaves para as 4 dimensões + price e quantity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sz w:val="20"/>
                <w:szCs w:val="20"/>
                <w:rtl w:val="0"/>
              </w:rPr>
              <w:t xml:space="preserve">dim_time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sz w:val="20"/>
                <w:szCs w:val="20"/>
                <w:rtl w:val="0"/>
              </w:rPr>
              <w:t xml:space="preserve">Períodos mensais com full_date, mês, trimestre, ano — base para sazonalidade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sz w:val="20"/>
                <w:szCs w:val="20"/>
                <w:rtl w:val="0"/>
              </w:rPr>
              <w:t xml:space="preserve">dim_product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sz w:val="20"/>
                <w:szCs w:val="20"/>
                <w:rtl w:val="0"/>
              </w:rPr>
              <w:t xml:space="preserve">74 categorias de produtos com atributos descritivos e tradução PT/EN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sz w:val="20"/>
                <w:szCs w:val="20"/>
                <w:rtl w:val="0"/>
              </w:rPr>
              <w:t xml:space="preserve">dim_customer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sz w:val="20"/>
                <w:szCs w:val="20"/>
                <w:rtl w:val="0"/>
              </w:rPr>
              <w:t xml:space="preserve">Clientes com informação geográfica (estado, cidade)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sz w:val="20"/>
                <w:szCs w:val="20"/>
                <w:rtl w:val="0"/>
              </w:rPr>
              <w:t xml:space="preserve">dim_seller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sz w:val="20"/>
                <w:szCs w:val="20"/>
                <w:rtl w:val="0"/>
              </w:rPr>
              <w:t xml:space="preserve">Vendedores com informação geográfica e identificador único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sz w:val="20"/>
                <w:szCs w:val="20"/>
                <w:rtl w:val="0"/>
              </w:rPr>
              <w:t xml:space="preserve">dim_trend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sz w:val="20"/>
                <w:szCs w:val="20"/>
                <w:rtl w:val="0"/>
              </w:rPr>
              <w:t xml:space="preserve">Volume de pesquisa por categoria/período + search_lead_1 + search_lead_2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sz w:val="20"/>
                <w:szCs w:val="20"/>
                <w:rtl w:val="0"/>
              </w:rPr>
              <w:t xml:space="preserve">dim_review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sz w:val="20"/>
                <w:szCs w:val="20"/>
                <w:rtl w:val="0"/>
              </w:rPr>
              <w:t xml:space="preserve">Sentimento por categoria/período: average_score, sentiment_score, review_momentum</w:t>
            </w:r>
            <w:r w:rsidDel="00000000" w:rsidR="00000000" w:rsidRPr="00000000">
              <w:rPr>
                <w:rtl w:val="0"/>
              </w:rPr>
            </w:r>
          </w:p>
        </w:tc>
      </w:tr>
    </w:tbl>
    <w:p w:rsidR="00000000" w:rsidDel="00000000" w:rsidP="00000000" w:rsidRDefault="00000000" w:rsidRPr="00000000" w14:paraId="00000086">
      <w:pPr>
        <w:spacing w:after="60" w:before="60" w:lineRule="auto"/>
        <w:rPr/>
      </w:pPr>
      <w:r w:rsidDel="00000000" w:rsidR="00000000" w:rsidRPr="00000000">
        <w:rPr>
          <w:rtl w:val="0"/>
        </w:rPr>
      </w:r>
    </w:p>
    <w:p w:rsidR="00000000" w:rsidDel="00000000" w:rsidP="00000000" w:rsidRDefault="00000000" w:rsidRPr="00000000" w14:paraId="00000087">
      <w:pPr>
        <w:spacing w:after="120" w:before="60" w:lineRule="auto"/>
        <w:jc w:val="both"/>
        <w:rPr/>
      </w:pPr>
      <w:r w:rsidDel="00000000" w:rsidR="00000000" w:rsidRPr="00000000">
        <w:rPr>
          <w:rtl w:val="0"/>
        </w:rPr>
        <w:t xml:space="preserve">As surrogate keys foram geradas via ROW_NUMBER() SQL para garantir desempenho nas junções e independência dos identificadores originais do dataset. A dim_trend e a dim_review constituem extensões do modelo Star Schema canónico que integram as fontes de dados externas diretamente no esquema dimensional, permitindo que o motor de análise consulte todas as fontes através de um único ponto de acesso SQL — uma decisão arquitetural que favorece a governança e auditabilidade dos dados.</w:t>
      </w:r>
    </w:p>
    <w:p w:rsidR="00000000" w:rsidDel="00000000" w:rsidP="00000000" w:rsidRDefault="00000000" w:rsidRPr="00000000" w14:paraId="00000088">
      <w:pPr>
        <w:spacing w:after="60" w:before="60" w:lineRule="auto"/>
        <w:rPr/>
      </w:pPr>
      <w:r w:rsidDel="00000000" w:rsidR="00000000" w:rsidRPr="00000000">
        <w:rPr>
          <w:rtl w:val="0"/>
        </w:rPr>
      </w:r>
    </w:p>
    <w:p w:rsidR="00000000" w:rsidDel="00000000" w:rsidP="00000000" w:rsidRDefault="00000000" w:rsidRPr="00000000" w14:paraId="00000089">
      <w:pPr>
        <w:pStyle w:val="Heading2"/>
        <w:spacing w:after="120" w:before="240" w:lineRule="auto"/>
        <w:rPr>
          <w:color w:val="2e75b6"/>
          <w:sz w:val="26"/>
          <w:szCs w:val="26"/>
        </w:rPr>
      </w:pPr>
      <w:r w:rsidDel="00000000" w:rsidR="00000000" w:rsidRPr="00000000">
        <w:rPr>
          <w:color w:val="2e75b6"/>
          <w:sz w:val="26"/>
          <w:szCs w:val="26"/>
          <w:rtl w:val="0"/>
        </w:rPr>
        <w:t xml:space="preserve">3.2 Pipeline ETL — Implementação Detalhada</w:t>
      </w:r>
    </w:p>
    <w:p w:rsidR="00000000" w:rsidDel="00000000" w:rsidP="00000000" w:rsidRDefault="00000000" w:rsidRPr="00000000" w14:paraId="0000008A">
      <w:pPr>
        <w:spacing w:after="120" w:before="60" w:lineRule="auto"/>
        <w:jc w:val="both"/>
        <w:rPr/>
      </w:pPr>
      <w:r w:rsidDel="00000000" w:rsidR="00000000" w:rsidRPr="00000000">
        <w:rPr>
          <w:rtl w:val="0"/>
        </w:rPr>
        <w:t xml:space="preserve">O pipeline ETL foi implementado no script pipeline_completa.py, que executa cinco passos sequenciais de forma completamente automatizada. A abordagem SQL-first — em que as transformações são executadas pelo motor PostgreSQL sobre dados já presentes na base de dados — garante maior desempenho face a alternativas baseadas inteiramente em pandas.</w:t>
      </w:r>
    </w:p>
    <w:p w:rsidR="00000000" w:rsidDel="00000000" w:rsidP="00000000" w:rsidRDefault="00000000" w:rsidRPr="00000000" w14:paraId="0000008B">
      <w:pPr>
        <w:pStyle w:val="Heading3"/>
        <w:spacing w:after="80" w:before="160" w:lineRule="auto"/>
        <w:rPr>
          <w:color w:val="374151"/>
        </w:rPr>
      </w:pPr>
      <w:r w:rsidDel="00000000" w:rsidR="00000000" w:rsidRPr="00000000">
        <w:rPr>
          <w:color w:val="374151"/>
          <w:rtl w:val="0"/>
        </w:rPr>
        <w:t xml:space="preserve">Passo 1 — Staging</w:t>
      </w:r>
    </w:p>
    <w:p w:rsidR="00000000" w:rsidDel="00000000" w:rsidP="00000000" w:rsidRDefault="00000000" w:rsidRPr="00000000" w14:paraId="0000008C">
      <w:pPr>
        <w:spacing w:after="120" w:before="60" w:lineRule="auto"/>
        <w:jc w:val="both"/>
        <w:rPr/>
      </w:pPr>
      <w:r w:rsidDel="00000000" w:rsidR="00000000" w:rsidRPr="00000000">
        <w:rPr>
          <w:rtl w:val="0"/>
        </w:rPr>
        <w:t xml:space="preserve">Todos os ficheiros de dados em bruto são carregados em tabelas de staging no PostgreSQL via pandas + SQLAlchemy. As tabelas staging_orders, staging_order_items, staging_products, staging_customers e staging_sellers recebem os dados do dataset Olist; staging_trends recebe o CSV de Google Trends; staging_reviews recebe o JSON de reviews. Este passo preserva os dados originais para reprocessamento e auditoria.</w:t>
      </w:r>
    </w:p>
    <w:p w:rsidR="00000000" w:rsidDel="00000000" w:rsidP="00000000" w:rsidRDefault="00000000" w:rsidRPr="00000000" w14:paraId="0000008D">
      <w:pPr>
        <w:pStyle w:val="Heading3"/>
        <w:spacing w:after="80" w:before="160" w:lineRule="auto"/>
        <w:rPr>
          <w:color w:val="374151"/>
        </w:rPr>
      </w:pPr>
      <w:r w:rsidDel="00000000" w:rsidR="00000000" w:rsidRPr="00000000">
        <w:rPr>
          <w:color w:val="374151"/>
          <w:rtl w:val="0"/>
        </w:rPr>
        <w:t xml:space="preserve">Passo 2 — ETL / Construção do DW</w:t>
      </w:r>
    </w:p>
    <w:p w:rsidR="00000000" w:rsidDel="00000000" w:rsidP="00000000" w:rsidRDefault="00000000" w:rsidRPr="00000000" w14:paraId="0000008E">
      <w:pPr>
        <w:spacing w:after="120" w:before="60" w:lineRule="auto"/>
        <w:jc w:val="both"/>
        <w:rPr/>
      </w:pPr>
      <w:r w:rsidDel="00000000" w:rsidR="00000000" w:rsidRPr="00000000">
        <w:rPr>
          <w:rtl w:val="0"/>
        </w:rPr>
        <w:t xml:space="preserve">O Star Schema é construído através de queries SQL executadas diretamente no PostgreSQL. As dimensões são criadas com SELECT DISTINCT + ROW_NUMBER() para geração das surrogate keys. A dim_trend inclui o cálculo dos search_lead_1 e search_lead_2 via LAG() SQL, implementando em base de dados a lógica de deslocamento temporal que suporta a hipótese preditiva. A fact_sales é criada por junção entre as tabelas de staging com mapeamento de chaves.</w:t>
      </w:r>
    </w:p>
    <w:p w:rsidR="00000000" w:rsidDel="00000000" w:rsidP="00000000" w:rsidRDefault="00000000" w:rsidRPr="00000000" w14:paraId="0000008F">
      <w:pPr>
        <w:pStyle w:val="Heading3"/>
        <w:spacing w:after="80" w:before="160" w:lineRule="auto"/>
        <w:rPr>
          <w:color w:val="374151"/>
        </w:rPr>
      </w:pPr>
      <w:r w:rsidDel="00000000" w:rsidR="00000000" w:rsidRPr="00000000">
        <w:rPr>
          <w:color w:val="374151"/>
          <w:rtl w:val="0"/>
        </w:rPr>
        <w:t xml:space="preserve">Passo 3 — CDC (Change Data Capture)</w:t>
      </w:r>
    </w:p>
    <w:p w:rsidR="00000000" w:rsidDel="00000000" w:rsidP="00000000" w:rsidRDefault="00000000" w:rsidRPr="00000000" w14:paraId="00000090">
      <w:pPr>
        <w:spacing w:after="120" w:before="60" w:lineRule="auto"/>
        <w:jc w:val="both"/>
        <w:rPr/>
      </w:pPr>
      <w:r w:rsidDel="00000000" w:rsidR="00000000" w:rsidRPr="00000000">
        <w:rPr>
          <w:rtl w:val="0"/>
        </w:rPr>
        <w:t xml:space="preserve">O trigger trg_cdc_fact_sales é criado em PL/pgSQL e acionado após cada INSERT na tabela fact_sales. O trigger regista automaticamente o evento na tabela cdc_audit_log com os atributos: tabela_nome, operacao, sales_sk, time_sk, product_sk, price e timestamp. A view vw_cdc_monitor agrega o log por tabela e tipo de operação, constituindo o ponto de monitorização em tempo real.</w:t>
      </w:r>
    </w:p>
    <w:p w:rsidR="00000000" w:rsidDel="00000000" w:rsidP="00000000" w:rsidRDefault="00000000" w:rsidRPr="00000000" w14:paraId="00000091">
      <w:pPr>
        <w:pStyle w:val="Heading3"/>
        <w:spacing w:after="80" w:before="160" w:lineRule="auto"/>
        <w:rPr>
          <w:color w:val="374151"/>
        </w:rPr>
      </w:pPr>
      <w:r w:rsidDel="00000000" w:rsidR="00000000" w:rsidRPr="00000000">
        <w:rPr>
          <w:color w:val="374151"/>
          <w:rtl w:val="0"/>
        </w:rPr>
        <w:t xml:space="preserve">Passo 4 — IA FAROL</w:t>
      </w:r>
    </w:p>
    <w:p w:rsidR="00000000" w:rsidDel="00000000" w:rsidP="00000000" w:rsidRDefault="00000000" w:rsidRPr="00000000" w14:paraId="00000092">
      <w:pPr>
        <w:spacing w:after="120" w:before="60" w:lineRule="auto"/>
        <w:jc w:val="both"/>
        <w:rPr/>
      </w:pPr>
      <w:r w:rsidDel="00000000" w:rsidR="00000000" w:rsidRPr="00000000">
        <w:rPr>
          <w:rtl w:val="0"/>
        </w:rPr>
        <w:t xml:space="preserve">Uma única query SQL junta fact_sales + dim_product + dim_time + dim_trend + dim_review, produzindo o dataset analítico completo sem leitura de ficheiros locais. Este dataset alimenta o pipeline de feature engineering e treino do modelo XGBoost.</w:t>
      </w:r>
    </w:p>
    <w:p w:rsidR="00000000" w:rsidDel="00000000" w:rsidP="00000000" w:rsidRDefault="00000000" w:rsidRPr="00000000" w14:paraId="00000093">
      <w:pPr>
        <w:pStyle w:val="Heading3"/>
        <w:spacing w:after="80" w:before="160" w:lineRule="auto"/>
        <w:rPr>
          <w:color w:val="374151"/>
        </w:rPr>
      </w:pPr>
      <w:r w:rsidDel="00000000" w:rsidR="00000000" w:rsidRPr="00000000">
        <w:rPr>
          <w:color w:val="374151"/>
          <w:rtl w:val="0"/>
        </w:rPr>
        <w:t xml:space="preserve">Passo 5 — Dashboard</w:t>
      </w:r>
    </w:p>
    <w:p w:rsidR="00000000" w:rsidDel="00000000" w:rsidP="00000000" w:rsidRDefault="00000000" w:rsidRPr="00000000" w14:paraId="00000094">
      <w:pPr>
        <w:spacing w:after="120" w:before="60" w:lineRule="auto"/>
        <w:jc w:val="both"/>
        <w:rPr/>
      </w:pPr>
      <w:r w:rsidDel="00000000" w:rsidR="00000000" w:rsidRPr="00000000">
        <w:rPr>
          <w:rtl w:val="0"/>
        </w:rPr>
        <w:t xml:space="preserve">Geração automática do dashboard de 6 gráficos em formato PNG de alta resolução, exportável para relatórios e apresentações.</w:t>
      </w:r>
    </w:p>
    <w:p w:rsidR="00000000" w:rsidDel="00000000" w:rsidP="00000000" w:rsidRDefault="00000000" w:rsidRPr="00000000" w14:paraId="00000095">
      <w:pPr>
        <w:spacing w:after="60" w:before="60" w:lineRule="auto"/>
        <w:rPr/>
      </w:pPr>
      <w:r w:rsidDel="00000000" w:rsidR="00000000" w:rsidRPr="00000000">
        <w:rPr>
          <w:rtl w:val="0"/>
        </w:rPr>
      </w:r>
    </w:p>
    <w:p w:rsidR="00000000" w:rsidDel="00000000" w:rsidP="00000000" w:rsidRDefault="00000000" w:rsidRPr="00000000" w14:paraId="00000096">
      <w:pPr>
        <w:pStyle w:val="Heading2"/>
        <w:spacing w:after="120" w:before="240" w:lineRule="auto"/>
        <w:rPr>
          <w:color w:val="2e75b6"/>
          <w:sz w:val="26"/>
          <w:szCs w:val="26"/>
        </w:rPr>
      </w:pPr>
      <w:r w:rsidDel="00000000" w:rsidR="00000000" w:rsidRPr="00000000">
        <w:rPr>
          <w:color w:val="2e75b6"/>
          <w:sz w:val="26"/>
          <w:szCs w:val="26"/>
          <w:rtl w:val="0"/>
        </w:rPr>
        <w:t xml:space="preserve">3.3 Change Data Capture — Implementação e Validação</w:t>
      </w:r>
    </w:p>
    <w:p w:rsidR="00000000" w:rsidDel="00000000" w:rsidP="00000000" w:rsidRDefault="00000000" w:rsidRPr="00000000" w14:paraId="00000097">
      <w:pPr>
        <w:spacing w:after="120" w:before="60" w:lineRule="auto"/>
        <w:jc w:val="both"/>
        <w:rPr/>
      </w:pPr>
      <w:r w:rsidDel="00000000" w:rsidR="00000000" w:rsidRPr="00000000">
        <w:rPr>
          <w:rtl w:val="0"/>
        </w:rPr>
        <w:t xml:space="preserve">O CDC foi implementado através de um trigger PL/pgSQL que captura todos os eventos INSERT na tabela fact_sales. A validação foi efetuada com sucesso: após a execução da pipeline, a view vw_cdc_monitor apresenta 110.197 operações do tipo INSERT registadas para a tabela fact_sales, confirmando o funcionamento correto do mecanismo de auditoria.</w:t>
      </w:r>
    </w:p>
    <w:p w:rsidR="00000000" w:rsidDel="00000000" w:rsidP="00000000" w:rsidRDefault="00000000" w:rsidRPr="00000000" w14:paraId="00000098">
      <w:pPr>
        <w:spacing w:after="120" w:before="60" w:lineRule="auto"/>
        <w:jc w:val="both"/>
        <w:rPr/>
      </w:pPr>
      <w:r w:rsidDel="00000000" w:rsidR="00000000" w:rsidRPr="00000000">
        <w:rPr>
          <w:rtl w:val="0"/>
        </w:rPr>
        <w:t xml:space="preserve">A tabela cdc_audit_log permite responder a questões de auditoria como: "Quantos registos foram inseridos neste período?", "Qual o preço médio dos últimos registos inseridos?" ou "Quando foi feita a última inserção?". Esta capacidade de auditoria em tempo real é um requisito crítico em sistemas de dados de produção que lidam com informação sensível de vendas.</w:t>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pBdr>
          <w:bottom w:color="2e75b6" w:space="1" w:sz="6" w:val="single"/>
        </w:pBdr>
        <w:spacing w:after="180" w:lineRule="auto"/>
        <w:rPr>
          <w:color w:val="1f3864"/>
        </w:rPr>
      </w:pPr>
      <w:r w:rsidDel="00000000" w:rsidR="00000000" w:rsidRPr="00000000">
        <w:rPr>
          <w:color w:val="1f3864"/>
          <w:rtl w:val="0"/>
        </w:rPr>
        <w:t xml:space="preserve">4. Sistema de Visualização e Análise</w:t>
      </w:r>
    </w:p>
    <w:p w:rsidR="00000000" w:rsidDel="00000000" w:rsidP="00000000" w:rsidRDefault="00000000" w:rsidRPr="00000000" w14:paraId="0000009B">
      <w:pPr>
        <w:pStyle w:val="Heading2"/>
        <w:spacing w:after="120" w:before="240" w:lineRule="auto"/>
        <w:rPr>
          <w:color w:val="2e75b6"/>
          <w:sz w:val="26"/>
          <w:szCs w:val="26"/>
        </w:rPr>
      </w:pPr>
      <w:r w:rsidDel="00000000" w:rsidR="00000000" w:rsidRPr="00000000">
        <w:rPr>
          <w:color w:val="2e75b6"/>
          <w:sz w:val="26"/>
          <w:szCs w:val="26"/>
          <w:rtl w:val="0"/>
        </w:rPr>
        <w:t xml:space="preserve">4.1 Métricas Quantitativas de Tendência</w:t>
      </w:r>
    </w:p>
    <w:p w:rsidR="00000000" w:rsidDel="00000000" w:rsidP="00000000" w:rsidRDefault="00000000" w:rsidRPr="00000000" w14:paraId="0000009C">
      <w:pPr>
        <w:spacing w:after="120" w:before="60" w:lineRule="auto"/>
        <w:jc w:val="both"/>
        <w:rPr/>
      </w:pPr>
      <w:r w:rsidDel="00000000" w:rsidR="00000000" w:rsidRPr="00000000">
        <w:rPr>
          <w:rtl w:val="0"/>
        </w:rPr>
        <w:t xml:space="preserve">O sistema calcula três métricas quantitativas de tendência por categoria de produto e por período temporal, em consonância com os requisitos do enunciado.</w:t>
      </w:r>
    </w:p>
    <w:p w:rsidR="00000000" w:rsidDel="00000000" w:rsidP="00000000" w:rsidRDefault="00000000" w:rsidRPr="00000000" w14:paraId="0000009D">
      <w:pPr>
        <w:pStyle w:val="Heading3"/>
        <w:spacing w:after="80" w:before="160" w:lineRule="auto"/>
        <w:rPr>
          <w:color w:val="374151"/>
        </w:rPr>
      </w:pPr>
      <w:r w:rsidDel="00000000" w:rsidR="00000000" w:rsidRPr="00000000">
        <w:rPr>
          <w:color w:val="374151"/>
          <w:rtl w:val="0"/>
        </w:rPr>
        <w:t xml:space="preserve">Taxa de Crescimento (G)</w:t>
      </w:r>
    </w:p>
    <w:p w:rsidR="00000000" w:rsidDel="00000000" w:rsidP="00000000" w:rsidRDefault="00000000" w:rsidRPr="00000000" w14:paraId="0000009E">
      <w:pPr>
        <w:spacing w:after="120" w:before="60" w:lineRule="auto"/>
        <w:jc w:val="both"/>
        <w:rPr/>
      </w:pPr>
      <w:sdt>
        <w:sdtPr>
          <w:id w:val="-762617111"/>
          <w:tag w:val="goog_rdk_0"/>
        </w:sdtPr>
        <w:sdtContent>
          <w:r w:rsidDel="00000000" w:rsidR="00000000" w:rsidRPr="00000000">
            <w:rPr>
              <w:rFonts w:ascii="Arial Unicode MS" w:cs="Arial Unicode MS" w:eastAsia="Arial Unicode MS" w:hAnsi="Arial Unicode MS"/>
              <w:rtl w:val="0"/>
            </w:rPr>
            <w:t xml:space="preserve">A taxa de crescimento mede a variação relativa do volume de vendas entre dois períodos consecutivos, calculada pela expressão G = (V_t − V_{t-1}) / V_{t-1}. Esta métrica identifica categorias com crescimento acumulado sustentado ao longo do tempo. Os resultados obtidos mostram que moveis_escritorio lidera com +0,0702, seguida de sinalizacao_e_seguranca (+0,0587) e bebidas (+0,0539).</w:t>
          </w:r>
        </w:sdtContent>
      </w:sdt>
    </w:p>
    <w:p w:rsidR="00000000" w:rsidDel="00000000" w:rsidP="00000000" w:rsidRDefault="00000000" w:rsidRPr="00000000" w14:paraId="0000009F">
      <w:pPr>
        <w:pStyle w:val="Heading3"/>
        <w:spacing w:after="80" w:before="160" w:lineRule="auto"/>
        <w:rPr>
          <w:color w:val="374151"/>
        </w:rPr>
      </w:pPr>
      <w:r w:rsidDel="00000000" w:rsidR="00000000" w:rsidRPr="00000000">
        <w:rPr>
          <w:color w:val="374151"/>
          <w:rtl w:val="0"/>
        </w:rPr>
        <w:t xml:space="preserve">Aceleração da Procura (A)</w:t>
      </w:r>
    </w:p>
    <w:p w:rsidR="00000000" w:rsidDel="00000000" w:rsidP="00000000" w:rsidRDefault="00000000" w:rsidRPr="00000000" w14:paraId="000000A0">
      <w:pPr>
        <w:spacing w:after="120" w:before="60" w:lineRule="auto"/>
        <w:jc w:val="both"/>
        <w:rPr/>
      </w:pPr>
      <w:sdt>
        <w:sdtPr>
          <w:id w:val="-1260621732"/>
          <w:tag w:val="goog_rdk_1"/>
        </w:sdtPr>
        <w:sdtContent>
          <w:r w:rsidDel="00000000" w:rsidR="00000000" w:rsidRPr="00000000">
            <w:rPr>
              <w:rFonts w:ascii="Arial Unicode MS" w:cs="Arial Unicode MS" w:eastAsia="Arial Unicode MS" w:hAnsi="Arial Unicode MS"/>
              <w:rtl w:val="0"/>
            </w:rPr>
            <w:t xml:space="preserve">A aceleração mede a variação da taxa de crescimento entre dois períodos consecutivos: A = G_t − G_{t-1}. Esta métrica é especialmente relevante para a deteção de tendências emergentes: uma categoria com aceleração positiva está a ganhar momentum independentemente do seu volume absoluto. O valor diferenciador desta métrica é que identifica la_cuisine (+0,0256 de aceleração) como tendência emergente, apesar de não figurar no Top 5 de crescimento absoluto.</w:t>
          </w:r>
        </w:sdtContent>
      </w:sdt>
    </w:p>
    <w:p w:rsidR="00000000" w:rsidDel="00000000" w:rsidP="00000000" w:rsidRDefault="00000000" w:rsidRPr="00000000" w14:paraId="000000A1">
      <w:pPr>
        <w:pStyle w:val="Heading3"/>
        <w:spacing w:after="80" w:before="160" w:lineRule="auto"/>
        <w:rPr>
          <w:color w:val="374151"/>
        </w:rPr>
      </w:pPr>
      <w:r w:rsidDel="00000000" w:rsidR="00000000" w:rsidRPr="00000000">
        <w:rPr>
          <w:color w:val="374151"/>
          <w:rtl w:val="0"/>
        </w:rPr>
        <w:t xml:space="preserve">Médias Móveis (MA-3)</w:t>
      </w:r>
    </w:p>
    <w:p w:rsidR="00000000" w:rsidDel="00000000" w:rsidP="00000000" w:rsidRDefault="00000000" w:rsidRPr="00000000" w14:paraId="000000A2">
      <w:pPr>
        <w:spacing w:after="120" w:before="60" w:lineRule="auto"/>
        <w:jc w:val="both"/>
        <w:rPr/>
      </w:pPr>
      <w:r w:rsidDel="00000000" w:rsidR="00000000" w:rsidRPr="00000000">
        <w:rPr>
          <w:rtl w:val="0"/>
        </w:rPr>
        <w:t xml:space="preserve">As médias móveis de janela 3 suavizam o ruído estatístico nas séries de vendas, isolando a tendência subjacente de variações pontuais atípicas. A janela de 3 períodos representa um compromisso entre reatividade (janela curta) e estabilidade (janela longa), adequado para dados mensais de e-commerce.</w:t>
      </w:r>
    </w:p>
    <w:p w:rsidR="00000000" w:rsidDel="00000000" w:rsidP="00000000" w:rsidRDefault="00000000" w:rsidRPr="00000000" w14:paraId="000000A3">
      <w:pPr>
        <w:spacing w:after="60" w:before="60" w:lineRule="auto"/>
        <w:rPr/>
      </w:pPr>
      <w:r w:rsidDel="00000000" w:rsidR="00000000" w:rsidRPr="00000000">
        <w:rPr>
          <w:rtl w:val="0"/>
        </w:rPr>
      </w:r>
    </w:p>
    <w:p w:rsidR="00000000" w:rsidDel="00000000" w:rsidP="00000000" w:rsidRDefault="00000000" w:rsidRPr="00000000" w14:paraId="000000A4">
      <w:pPr>
        <w:pStyle w:val="Heading2"/>
        <w:spacing w:after="120" w:before="240" w:lineRule="auto"/>
        <w:rPr>
          <w:color w:val="2e75b6"/>
          <w:sz w:val="26"/>
          <w:szCs w:val="26"/>
        </w:rPr>
      </w:pPr>
      <w:r w:rsidDel="00000000" w:rsidR="00000000" w:rsidRPr="00000000">
        <w:rPr>
          <w:color w:val="2e75b6"/>
          <w:sz w:val="26"/>
          <w:szCs w:val="26"/>
          <w:rtl w:val="0"/>
        </w:rPr>
        <w:t xml:space="preserve">4.2 Modelo Preditivo — Evolução e Versões</w:t>
      </w:r>
    </w:p>
    <w:p w:rsidR="00000000" w:rsidDel="00000000" w:rsidP="00000000" w:rsidRDefault="00000000" w:rsidRPr="00000000" w14:paraId="000000A5">
      <w:pPr>
        <w:spacing w:after="120" w:before="60" w:lineRule="auto"/>
        <w:jc w:val="both"/>
        <w:rPr/>
      </w:pPr>
      <w:r w:rsidDel="00000000" w:rsidR="00000000" w:rsidRPr="00000000">
        <w:rPr>
          <w:rtl w:val="0"/>
        </w:rPr>
        <w:t xml:space="preserve">O modelo preditivo foi desenvolvido em quatro iterações progressivas, cada uma introduzindo melhorias específicas e mensuráveis. A tabela seguinte resume a evolução das métricas ao longo das versões:</w:t>
      </w:r>
    </w:p>
    <w:p w:rsidR="00000000" w:rsidDel="00000000" w:rsidP="00000000" w:rsidRDefault="00000000" w:rsidRPr="00000000" w14:paraId="000000A6">
      <w:pPr>
        <w:spacing w:after="60" w:before="6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1800"/>
        <w:gridCol w:w="1600"/>
        <w:gridCol w:w="2426"/>
        <w:tblGridChange w:id="0">
          <w:tblGrid>
            <w:gridCol w:w="1400"/>
            <w:gridCol w:w="1800"/>
            <w:gridCol w:w="1800"/>
            <w:gridCol w:w="1600"/>
            <w:gridCol w:w="2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7">
            <w:pPr>
              <w:jc w:val="center"/>
              <w:rPr/>
            </w:pPr>
            <w:r w:rsidDel="00000000" w:rsidR="00000000" w:rsidRPr="00000000">
              <w:rPr>
                <w:b w:val="1"/>
                <w:bCs w:val="1"/>
                <w:color w:val="ffffff"/>
                <w:sz w:val="20"/>
                <w:szCs w:val="20"/>
                <w:rtl w:val="0"/>
              </w:rPr>
              <w:t xml:space="preserve">Versão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8">
            <w:pPr>
              <w:jc w:val="center"/>
              <w:rPr/>
            </w:pPr>
            <w:r w:rsidDel="00000000" w:rsidR="00000000" w:rsidRPr="00000000">
              <w:rPr>
                <w:b w:val="1"/>
                <w:bCs w:val="1"/>
                <w:color w:val="ffffff"/>
                <w:sz w:val="20"/>
                <w:szCs w:val="20"/>
                <w:rtl w:val="0"/>
              </w:rPr>
              <w:t xml:space="preserve">R² Teste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b w:val="1"/>
                <w:bCs w:val="1"/>
                <w:color w:val="ffffff"/>
                <w:sz w:val="20"/>
                <w:szCs w:val="20"/>
                <w:rtl w:val="0"/>
              </w:rPr>
              <w:t xml:space="preserve">R² 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A">
            <w:pPr>
              <w:jc w:val="center"/>
              <w:rPr/>
            </w:pPr>
            <w:r w:rsidDel="00000000" w:rsidR="00000000" w:rsidRPr="00000000">
              <w:rPr>
                <w:b w:val="1"/>
                <w:bCs w:val="1"/>
                <w:color w:val="ffffff"/>
                <w:sz w:val="20"/>
                <w:szCs w:val="20"/>
                <w:rtl w:val="0"/>
              </w:rPr>
              <w:t xml:space="preserve">MAE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B">
            <w:pPr>
              <w:jc w:val="center"/>
              <w:rPr/>
            </w:pPr>
            <w:r w:rsidDel="00000000" w:rsidR="00000000" w:rsidRPr="00000000">
              <w:rPr>
                <w:b w:val="1"/>
                <w:bCs w:val="1"/>
                <w:color w:val="ffffff"/>
                <w:sz w:val="20"/>
                <w:szCs w:val="20"/>
                <w:rtl w:val="0"/>
              </w:rPr>
              <w:t xml:space="preserve">Principal Melhoria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AC">
            <w:pPr>
              <w:jc w:val="center"/>
              <w:rPr/>
            </w:pPr>
            <w:r w:rsidDel="00000000" w:rsidR="00000000" w:rsidRPr="00000000">
              <w:rPr>
                <w:sz w:val="20"/>
                <w:szCs w:val="20"/>
                <w:rtl w:val="0"/>
              </w:rPr>
              <w:t xml:space="preserve">v1 — RF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AD">
            <w:pPr>
              <w:jc w:val="center"/>
              <w:rPr/>
            </w:pPr>
            <w:r w:rsidDel="00000000" w:rsidR="00000000" w:rsidRPr="00000000">
              <w:rPr>
                <w:sz w:val="20"/>
                <w:szCs w:val="20"/>
                <w:rtl w:val="0"/>
              </w:rPr>
              <w:t xml:space="preserve">0,780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AE">
            <w:pPr>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B0">
            <w:pPr>
              <w:jc w:val="center"/>
              <w:rPr/>
            </w:pPr>
            <w:r w:rsidDel="00000000" w:rsidR="00000000" w:rsidRPr="00000000">
              <w:rPr>
                <w:sz w:val="20"/>
                <w:szCs w:val="20"/>
                <w:rtl w:val="0"/>
              </w:rPr>
              <w:t xml:space="preserve">Modelo base. Google Trends dominante (39%)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jc w:val="center"/>
              <w:rPr/>
            </w:pPr>
            <w:r w:rsidDel="00000000" w:rsidR="00000000" w:rsidRPr="00000000">
              <w:rPr>
                <w:sz w:val="20"/>
                <w:szCs w:val="20"/>
                <w:rtl w:val="0"/>
              </w:rPr>
              <w:t xml:space="preserve">v2 — XGBoost + Lags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jc w:val="center"/>
              <w:rPr/>
            </w:pPr>
            <w:r w:rsidDel="00000000" w:rsidR="00000000" w:rsidRPr="00000000">
              <w:rPr>
                <w:sz w:val="20"/>
                <w:szCs w:val="20"/>
                <w:rtl w:val="0"/>
              </w:rPr>
              <w:t xml:space="preserve">0,967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jc w:val="center"/>
              <w:rPr/>
            </w:pPr>
            <w:r w:rsidDel="00000000" w:rsidR="00000000" w:rsidRPr="00000000">
              <w:rPr>
                <w:sz w:val="20"/>
                <w:szCs w:val="20"/>
                <w:rtl w:val="0"/>
              </w:rPr>
              <w:t xml:space="preserve">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jc w:val="center"/>
              <w:rPr/>
            </w:pPr>
            <w:r w:rsidDel="00000000" w:rsidR="00000000" w:rsidRPr="00000000">
              <w:rPr>
                <w:sz w:val="20"/>
                <w:szCs w:val="20"/>
                <w:rtl w:val="0"/>
              </w:rPr>
              <w:t xml:space="preserve">moving_avg_6 domina 73% — espelho retrovisor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B6">
            <w:pPr>
              <w:jc w:val="center"/>
              <w:rPr/>
            </w:pPr>
            <w:r w:rsidDel="00000000" w:rsidR="00000000" w:rsidRPr="00000000">
              <w:rPr>
                <w:sz w:val="20"/>
                <w:szCs w:val="20"/>
                <w:rtl w:val="0"/>
              </w:rPr>
              <w:t xml:space="preserve">v3 — FAROL (RF)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B7">
            <w:pPr>
              <w:jc w:val="center"/>
              <w:rPr/>
            </w:pPr>
            <w:r w:rsidDel="00000000" w:rsidR="00000000" w:rsidRPr="00000000">
              <w:rPr>
                <w:sz w:val="20"/>
                <w:szCs w:val="20"/>
                <w:rtl w:val="0"/>
              </w:rPr>
              <w:t xml:space="preserve">0,935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B8">
            <w:pPr>
              <w:jc w:val="center"/>
              <w:rPr/>
            </w:pPr>
            <w:r w:rsidDel="00000000" w:rsidR="00000000" w:rsidRPr="00000000">
              <w:rPr>
                <w:sz w:val="20"/>
                <w:szCs w:val="20"/>
                <w:rtl w:val="0"/>
              </w:rPr>
              <w:t xml:space="preserve">0,857 ±0,109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B9">
            <w:pPr>
              <w:jc w:val="center"/>
              <w:rPr/>
            </w:pPr>
            <w:r w:rsidDel="00000000" w:rsidR="00000000" w:rsidRPr="00000000">
              <w:rPr>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BA">
            <w:pPr>
              <w:jc w:val="center"/>
              <w:rPr/>
            </w:pPr>
            <w:r w:rsidDel="00000000" w:rsidR="00000000" w:rsidRPr="00000000">
              <w:rPr>
                <w:sz w:val="20"/>
                <w:szCs w:val="20"/>
                <w:rtl w:val="0"/>
              </w:rPr>
              <w:t xml:space="preserve">TimeSeriesSplit + search leads + sazonalidade trig.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BB">
            <w:pPr>
              <w:jc w:val="center"/>
              <w:rPr/>
            </w:pPr>
            <w:r w:rsidDel="00000000" w:rsidR="00000000" w:rsidRPr="00000000">
              <w:rPr>
                <w:b w:val="1"/>
                <w:bCs w:val="1"/>
                <w:sz w:val="20"/>
                <w:szCs w:val="20"/>
                <w:rtl w:val="0"/>
              </w:rPr>
              <w:t xml:space="preserve">v4 — FAROL (final)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BC">
            <w:pPr>
              <w:jc w:val="center"/>
              <w:rPr/>
            </w:pPr>
            <w:r w:rsidDel="00000000" w:rsidR="00000000" w:rsidRPr="00000000">
              <w:rPr>
                <w:b w:val="1"/>
                <w:bCs w:val="1"/>
                <w:sz w:val="20"/>
                <w:szCs w:val="20"/>
                <w:rtl w:val="0"/>
              </w:rPr>
              <w:t xml:space="preserve">0,935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BD">
            <w:pPr>
              <w:jc w:val="center"/>
              <w:rPr/>
            </w:pPr>
            <w:r w:rsidDel="00000000" w:rsidR="00000000" w:rsidRPr="00000000">
              <w:rPr>
                <w:b w:val="1"/>
                <w:bCs w:val="1"/>
                <w:sz w:val="20"/>
                <w:szCs w:val="20"/>
                <w:rtl w:val="0"/>
              </w:rPr>
              <w:t xml:space="preserve">0,857 ±0,109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BE">
            <w:pPr>
              <w:jc w:val="center"/>
              <w:rPr/>
            </w:pPr>
            <w:r w:rsidDel="00000000" w:rsidR="00000000" w:rsidRPr="00000000">
              <w:rPr>
                <w:b w:val="1"/>
                <w:bCs w:val="1"/>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BF">
            <w:pPr>
              <w:jc w:val="center"/>
              <w:rPr/>
            </w:pPr>
            <w:r w:rsidDel="00000000" w:rsidR="00000000" w:rsidRPr="00000000">
              <w:rPr>
                <w:b w:val="1"/>
                <w:bCs w:val="1"/>
                <w:sz w:val="20"/>
                <w:szCs w:val="20"/>
                <w:rtl w:val="0"/>
              </w:rPr>
              <w:t xml:space="preserve">Pipeline completa — lê tudo do DW via SQL</w:t>
            </w:r>
            <w:r w:rsidDel="00000000" w:rsidR="00000000" w:rsidRPr="00000000">
              <w:rPr>
                <w:rtl w:val="0"/>
              </w:rPr>
            </w:r>
          </w:p>
        </w:tc>
      </w:tr>
    </w:tbl>
    <w:p w:rsidR="00000000" w:rsidDel="00000000" w:rsidP="00000000" w:rsidRDefault="00000000" w:rsidRPr="00000000" w14:paraId="000000C0">
      <w:pPr>
        <w:spacing w:after="60" w:before="60" w:lineRule="auto"/>
        <w:rPr/>
      </w:pPr>
      <w:r w:rsidDel="00000000" w:rsidR="00000000" w:rsidRPr="00000000">
        <w:rPr>
          <w:rtl w:val="0"/>
        </w:rPr>
      </w:r>
    </w:p>
    <w:p w:rsidR="00000000" w:rsidDel="00000000" w:rsidP="00000000" w:rsidRDefault="00000000" w:rsidRPr="00000000" w14:paraId="000000C1">
      <w:pPr>
        <w:pStyle w:val="Heading3"/>
        <w:spacing w:after="80" w:before="160" w:lineRule="auto"/>
        <w:rPr>
          <w:color w:val="374151"/>
        </w:rPr>
      </w:pPr>
      <w:r w:rsidDel="00000000" w:rsidR="00000000" w:rsidRPr="00000000">
        <w:rPr>
          <w:color w:val="374151"/>
          <w:rtl w:val="0"/>
        </w:rPr>
        <w:t xml:space="preserve">Versão Final — XGBoost FAROL</w:t>
      </w:r>
    </w:p>
    <w:p w:rsidR="00000000" w:rsidDel="00000000" w:rsidP="00000000" w:rsidRDefault="00000000" w:rsidRPr="00000000" w14:paraId="000000C2">
      <w:pPr>
        <w:spacing w:after="120" w:before="60" w:lineRule="auto"/>
        <w:jc w:val="both"/>
        <w:rPr/>
      </w:pPr>
      <w:r w:rsidDel="00000000" w:rsidR="00000000" w:rsidRPr="00000000">
        <w:rPr>
          <w:rtl w:val="0"/>
        </w:rPr>
        <w:t xml:space="preserve">A versão final introduz quatro melhorias fundamentais face ao modelo base: (1) penalização da autocorrelação — a moving_avg_6 foi substituída pela moving_avg_3, forçando o modelo a aprender com sinais externos; (2) search leads preditivos — search_lead_1 e search_lead_2 capturam o volume de pesquisa de períodos anteriores, implementando a hipótese de antecipação; (3) decomposição trigonométrica da sazonalidade — sin e cos garantem que dezembro e janeiro ficam matematicamente próximos; (4) TimeSeriesSplit com 5 folds — validação cronológica estrita que elimina a contaminação futura.</w:t>
      </w:r>
    </w:p>
    <w:p w:rsidR="00000000" w:rsidDel="00000000" w:rsidP="00000000" w:rsidRDefault="00000000" w:rsidRPr="00000000" w14:paraId="000000C3">
      <w:pPr>
        <w:spacing w:after="60" w:before="60" w:lineRule="auto"/>
        <w:rPr/>
      </w:pPr>
      <w:r w:rsidDel="00000000" w:rsidR="00000000" w:rsidRPr="00000000">
        <w:rPr>
          <w:rtl w:val="0"/>
        </w:rPr>
      </w:r>
    </w:p>
    <w:p w:rsidR="00000000" w:rsidDel="00000000" w:rsidP="00000000" w:rsidRDefault="00000000" w:rsidRPr="00000000" w14:paraId="000000C4">
      <w:pPr>
        <w:pStyle w:val="Heading2"/>
        <w:spacing w:after="120" w:before="240" w:lineRule="auto"/>
        <w:rPr>
          <w:color w:val="2e75b6"/>
          <w:sz w:val="26"/>
          <w:szCs w:val="26"/>
        </w:rPr>
      </w:pPr>
      <w:r w:rsidDel="00000000" w:rsidR="00000000" w:rsidRPr="00000000">
        <w:rPr>
          <w:color w:val="2e75b6"/>
          <w:sz w:val="26"/>
          <w:szCs w:val="26"/>
          <w:rtl w:val="0"/>
        </w:rPr>
        <w:t xml:space="preserve">4.3 Feature Engineering — Detalhe</w:t>
      </w:r>
    </w:p>
    <w:p w:rsidR="00000000" w:rsidDel="00000000" w:rsidP="00000000" w:rsidRDefault="00000000" w:rsidRPr="00000000" w14:paraId="000000C5">
      <w:pPr>
        <w:spacing w:after="120" w:before="60" w:lineRule="auto"/>
        <w:jc w:val="both"/>
        <w:rPr/>
      </w:pPr>
      <w:r w:rsidDel="00000000" w:rsidR="00000000" w:rsidRPr="00000000">
        <w:rPr>
          <w:rtl w:val="0"/>
        </w:rPr>
        <w:t xml:space="preserve">A tabela seguinte detalha todas as features utilizadas no modelo final, com a sua importância relativa, tipo e descrição:</w:t>
      </w:r>
    </w:p>
    <w:p w:rsidR="00000000" w:rsidDel="00000000" w:rsidP="00000000" w:rsidRDefault="00000000" w:rsidRPr="00000000" w14:paraId="000000C6">
      <w:pPr>
        <w:spacing w:after="60" w:before="60" w:lineRule="auto"/>
        <w:rPr/>
      </w:pPr>
      <w:r w:rsidDel="00000000" w:rsidR="00000000" w:rsidRPr="00000000">
        <w:rPr>
          <w:rtl w:val="0"/>
        </w:rPr>
      </w:r>
    </w:p>
    <w:tbl>
      <w:tblPr>
        <w:tblStyle w:val="Table6"/>
        <w:tblW w:w="86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1400"/>
        <w:gridCol w:w="3026"/>
        <w:tblGridChange w:id="0">
          <w:tblGrid>
            <w:gridCol w:w="2600"/>
            <w:gridCol w:w="1600"/>
            <w:gridCol w:w="1400"/>
            <w:gridCol w:w="3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b w:val="1"/>
                <w:bCs w:val="1"/>
                <w:color w:val="ffffff"/>
                <w:sz w:val="20"/>
                <w:szCs w:val="20"/>
                <w:rtl w:val="0"/>
              </w:rPr>
              <w:t xml:space="preserve">Importância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b w:val="1"/>
                <w:bCs w:val="1"/>
                <w:color w:val="ffffff"/>
                <w:sz w:val="20"/>
                <w:szCs w:val="20"/>
                <w:rtl w:val="0"/>
              </w:rPr>
              <w:t xml:space="preserve">Descrição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sz w:val="20"/>
                <w:szCs w:val="20"/>
                <w:rtl w:val="0"/>
              </w:rPr>
              <w:t xml:space="preserve">moving_avg_3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sz w:val="20"/>
                <w:szCs w:val="20"/>
                <w:rtl w:val="0"/>
              </w:rPr>
              <w:t xml:space="preserve">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sz w:val="20"/>
                <w:szCs w:val="20"/>
                <w:rtl w:val="0"/>
              </w:rPr>
              <w:t xml:space="preserve">Histórico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sz w:val="20"/>
                <w:szCs w:val="20"/>
                <w:rtl w:val="0"/>
              </w:rPr>
              <w:t xml:space="preserve">Média móvel de 3 períodos — suaviza ruído temporal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sz w:val="20"/>
                <w:szCs w:val="20"/>
                <w:rtl w:val="0"/>
              </w:rPr>
              <w:t xml:space="preserve">lag_1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sz w:val="20"/>
                <w:szCs w:val="20"/>
                <w:rtl w:val="0"/>
              </w:rPr>
              <w:t xml:space="preserve">26,1%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sz w:val="20"/>
                <w:szCs w:val="20"/>
                <w:rtl w:val="0"/>
              </w:rPr>
              <w:t xml:space="preserve">Histórico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sz w:val="20"/>
                <w:szCs w:val="20"/>
                <w:rtl w:val="0"/>
              </w:rPr>
              <w:t xml:space="preserve">Volume de vendas do período anterior (autocorrelação)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sz w:val="20"/>
                <w:szCs w:val="20"/>
                <w:rtl w:val="0"/>
              </w:rPr>
              <w:t xml:space="preserve">growth_rate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sz w:val="20"/>
                <w:szCs w:val="20"/>
                <w:rtl w:val="0"/>
              </w:rPr>
              <w:t xml:space="preserve">10,6%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sz w:val="20"/>
                <w:szCs w:val="20"/>
                <w:rtl w:val="0"/>
              </w:rPr>
              <w:t xml:space="preserve">Calculada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sz w:val="20"/>
                <w:szCs w:val="20"/>
                <w:rtl w:val="0"/>
              </w:rPr>
              <w:t xml:space="preserve">Taxa de crescimento relativa: (V_t - V_{t-1}) / V_{t-1}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sz w:val="20"/>
                <w:szCs w:val="20"/>
                <w:rtl w:val="0"/>
              </w:rPr>
              <w:t xml:space="preserve">acceleration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sz w:val="20"/>
                <w:szCs w:val="20"/>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sz w:val="20"/>
                <w:szCs w:val="20"/>
                <w:rtl w:val="0"/>
              </w:rPr>
              <w:t xml:space="preserve">Calculada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sz w:val="20"/>
                <w:szCs w:val="20"/>
                <w:rtl w:val="0"/>
              </w:rPr>
              <w:t xml:space="preserve">Aceleração da procura: G_t - G_{t-1}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sz w:val="20"/>
                <w:szCs w:val="20"/>
                <w:rtl w:val="0"/>
              </w:rPr>
              <w:t xml:space="preserve">farol_score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sz w:val="20"/>
                <w:szCs w:val="20"/>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sz w:val="20"/>
                <w:szCs w:val="20"/>
                <w:rtl w:val="0"/>
              </w:rPr>
              <w:t xml:space="preserve">Composta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sz w:val="20"/>
                <w:szCs w:val="20"/>
                <w:rtl w:val="0"/>
              </w:rPr>
              <w:t xml:space="preserve">Score ponderado: 40% search_mom + 35% accel + 25% growth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sz w:val="20"/>
                <w:szCs w:val="20"/>
                <w:rtl w:val="0"/>
              </w:rPr>
              <w:t xml:space="preserve">search_momentum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sz w:val="20"/>
                <w:szCs w:val="20"/>
                <w:rtl w:val="0"/>
              </w:rPr>
              <w:t xml:space="preserve">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sz w:val="20"/>
                <w:szCs w:val="20"/>
                <w:rtl w:val="0"/>
              </w:rPr>
              <w:t xml:space="preserve">Externa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sz w:val="20"/>
                <w:szCs w:val="20"/>
                <w:rtl w:val="0"/>
              </w:rPr>
              <w:t xml:space="preserve">Aceleração do volume de pesquisa online (Google Trends)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sz w:val="20"/>
                <w:szCs w:val="20"/>
                <w:rtl w:val="0"/>
              </w:rPr>
              <w:t xml:space="preserve">search_lead_1/2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sz w:val="20"/>
                <w:szCs w:val="20"/>
                <w:rtl w:val="0"/>
              </w:rPr>
              <w:t xml:space="preserve">Externa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sz w:val="20"/>
                <w:szCs w:val="20"/>
                <w:rtl w:val="0"/>
              </w:rPr>
              <w:t xml:space="preserve">Volume de pesquisa 1 e 2 períodos atrás (sinal antecipado)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sz w:val="20"/>
                <w:szCs w:val="20"/>
                <w:rtl w:val="0"/>
              </w:rPr>
              <w:t xml:space="preserve">sazonalidade_sin/cos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sz w:val="20"/>
                <w:szCs w:val="20"/>
                <w:rtl w:val="0"/>
              </w:rPr>
              <w:t xml:space="preserve">Temporal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sz w:val="20"/>
                <w:szCs w:val="20"/>
                <w:rtl w:val="0"/>
              </w:rPr>
              <w:t xml:space="preserve">Codificação trigonométrica do mês (dez/jan próximos)</w:t>
            </w:r>
            <w:r w:rsidDel="00000000" w:rsidR="00000000" w:rsidRPr="00000000">
              <w:rPr>
                <w:rtl w:val="0"/>
              </w:rPr>
            </w:r>
          </w:p>
        </w:tc>
      </w:tr>
    </w:tbl>
    <w:p w:rsidR="00000000" w:rsidDel="00000000" w:rsidP="00000000" w:rsidRDefault="00000000" w:rsidRPr="00000000" w14:paraId="000000EB">
      <w:pPr>
        <w:spacing w:after="60" w:before="60" w:lineRule="auto"/>
        <w:rPr/>
      </w:pPr>
      <w:r w:rsidDel="00000000" w:rsidR="00000000" w:rsidRPr="00000000">
        <w:rPr>
          <w:rtl w:val="0"/>
        </w:rPr>
      </w:r>
    </w:p>
    <w:p w:rsidR="00000000" w:rsidDel="00000000" w:rsidP="00000000" w:rsidRDefault="00000000" w:rsidRPr="00000000" w14:paraId="000000EC">
      <w:pPr>
        <w:spacing w:after="120" w:before="60" w:lineRule="auto"/>
        <w:jc w:val="both"/>
        <w:rPr/>
      </w:pPr>
      <w:r w:rsidDel="00000000" w:rsidR="00000000" w:rsidRPr="00000000">
        <w:rPr>
          <w:rtl w:val="0"/>
        </w:rPr>
        <w:t xml:space="preserve">A análise de importância revela que moving_avg_3 e lag_1 explicam conjuntamente 68,6% do modelo, refletindo a propriedade de autocorrelação natural das séries temporais de vendas — o passado recente é o melhor preditor do curto prazo. Os sinais externos (search_momentum, search_lead_1/2) explicam apenas 1,9%, uma limitação atribuível à natureza sintética dos dados de trends que é discutida na secção de análise crítica.</w:t>
      </w:r>
    </w:p>
    <w:p w:rsidR="00000000" w:rsidDel="00000000" w:rsidP="00000000" w:rsidRDefault="00000000" w:rsidRPr="00000000" w14:paraId="000000ED">
      <w:pPr>
        <w:spacing w:after="60" w:before="60" w:lineRule="auto"/>
        <w:rPr/>
      </w:pPr>
      <w:r w:rsidDel="00000000" w:rsidR="00000000" w:rsidRPr="00000000">
        <w:rPr>
          <w:rtl w:val="0"/>
        </w:rPr>
      </w:r>
    </w:p>
    <w:p w:rsidR="00000000" w:rsidDel="00000000" w:rsidP="00000000" w:rsidRDefault="00000000" w:rsidRPr="00000000" w14:paraId="000000EE">
      <w:pPr>
        <w:pStyle w:val="Heading2"/>
        <w:spacing w:after="120" w:before="240" w:lineRule="auto"/>
        <w:rPr>
          <w:color w:val="2e75b6"/>
          <w:sz w:val="26"/>
          <w:szCs w:val="26"/>
        </w:rPr>
      </w:pPr>
      <w:r w:rsidDel="00000000" w:rsidR="00000000" w:rsidRPr="00000000">
        <w:rPr>
          <w:color w:val="2e75b6"/>
          <w:sz w:val="26"/>
          <w:szCs w:val="26"/>
          <w:rtl w:val="0"/>
        </w:rPr>
        <w:t xml:space="preserve">4.4 Avaliação do Modelo</w:t>
      </w:r>
    </w:p>
    <w:p w:rsidR="00000000" w:rsidDel="00000000" w:rsidP="00000000" w:rsidRDefault="00000000" w:rsidRPr="00000000" w14:paraId="000000EF">
      <w:pPr>
        <w:spacing w:after="120" w:before="60" w:lineRule="auto"/>
        <w:jc w:val="both"/>
        <w:rPr/>
      </w:pPr>
      <w:r w:rsidDel="00000000" w:rsidR="00000000" w:rsidRPr="00000000">
        <w:rPr>
          <w:rtl w:val="0"/>
        </w:rPr>
        <w:t xml:space="preserve">O modelo foi avaliado com quatro métricas complementares, escolhidas pela sua relevância para séries temporais de vendas e pela capacidade de detetar overfitting:</w:t>
      </w:r>
    </w:p>
    <w:p w:rsidR="00000000" w:rsidDel="00000000" w:rsidP="00000000" w:rsidRDefault="00000000" w:rsidRPr="00000000" w14:paraId="000000F0">
      <w:pPr>
        <w:spacing w:after="60" w:before="60" w:lineRule="auto"/>
        <w:rPr/>
      </w:pPr>
      <w:r w:rsidDel="00000000" w:rsidR="00000000" w:rsidRPr="00000000">
        <w:rPr>
          <w:rtl w:val="0"/>
        </w:rPr>
      </w:r>
    </w:p>
    <w:tbl>
      <w:tblPr>
        <w:tblStyle w:val="Table7"/>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1800"/>
        <w:gridCol w:w="1800"/>
        <w:tblGridChange w:id="0">
          <w:tblGrid>
            <w:gridCol w:w="2800"/>
            <w:gridCol w:w="1800"/>
            <w:gridCol w:w="180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1">
            <w:pPr>
              <w:jc w:val="center"/>
              <w:rPr/>
            </w:pPr>
            <w:r w:rsidDel="00000000" w:rsidR="00000000" w:rsidRPr="00000000">
              <w:rPr>
                <w:b w:val="1"/>
                <w:bCs w:val="1"/>
                <w:color w:val="ffffff"/>
                <w:sz w:val="20"/>
                <w:szCs w:val="20"/>
                <w:rtl w:val="0"/>
              </w:rPr>
              <w:t xml:space="preserve">Métrica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2">
            <w:pPr>
              <w:jc w:val="center"/>
              <w:rPr/>
            </w:pPr>
            <w:r w:rsidDel="00000000" w:rsidR="00000000" w:rsidRPr="00000000">
              <w:rPr>
                <w:b w:val="1"/>
                <w:bCs w:val="1"/>
                <w:color w:val="ffffff"/>
                <w:sz w:val="20"/>
                <w:szCs w:val="20"/>
                <w:rtl w:val="0"/>
              </w:rPr>
              <w:t xml:space="preserve">Valor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3">
            <w:pPr>
              <w:jc w:val="center"/>
              <w:rPr/>
            </w:pPr>
            <w:r w:rsidDel="00000000" w:rsidR="00000000" w:rsidRPr="00000000">
              <w:rPr>
                <w:b w:val="1"/>
                <w:bCs w:val="1"/>
                <w:color w:val="ffffff"/>
                <w:sz w:val="20"/>
                <w:szCs w:val="20"/>
                <w:rtl w:val="0"/>
              </w:rPr>
              <w:t xml:space="preserve">Meta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4">
            <w:pPr>
              <w:jc w:val="center"/>
              <w:rPr/>
            </w:pPr>
            <w:r w:rsidDel="00000000" w:rsidR="00000000" w:rsidRPr="00000000">
              <w:rPr>
                <w:b w:val="1"/>
                <w:bCs w:val="1"/>
                <w:color w:val="ffffff"/>
                <w:sz w:val="20"/>
                <w:szCs w:val="20"/>
                <w:rtl w:val="0"/>
              </w:rPr>
              <w:t xml:space="preserve">Estado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F5">
            <w:pPr>
              <w:jc w:val="center"/>
              <w:rPr/>
            </w:pPr>
            <w:r w:rsidDel="00000000" w:rsidR="00000000" w:rsidRPr="00000000">
              <w:rPr>
                <w:sz w:val="20"/>
                <w:szCs w:val="20"/>
                <w:rtl w:val="0"/>
              </w:rPr>
              <w:t xml:space="preserve">R² (conjunto de teste)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F6">
            <w:pPr>
              <w:jc w:val="center"/>
              <w:rPr/>
            </w:pPr>
            <w:r w:rsidDel="00000000" w:rsidR="00000000" w:rsidRPr="00000000">
              <w:rPr>
                <w:sz w:val="20"/>
                <w:szCs w:val="20"/>
                <w:rtl w:val="0"/>
              </w:rPr>
              <w:t xml:space="preserve">0,935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F7">
            <w:pPr>
              <w:jc w:val="center"/>
              <w:rPr/>
            </w:pPr>
            <w:r w:rsidDel="00000000" w:rsidR="00000000" w:rsidRPr="00000000">
              <w:rPr>
                <w:sz w:val="20"/>
                <w:szCs w:val="20"/>
                <w:rtl w:val="0"/>
              </w:rPr>
              <w:t xml:space="preserve">&gt; 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F8">
            <w:pPr>
              <w:jc w:val="center"/>
              <w:rPr/>
            </w:pPr>
            <w:sdt>
              <w:sdtPr>
                <w:id w:val="2145797347"/>
                <w:tag w:val="goog_rdk_2"/>
              </w:sdtPr>
              <w:sdtContent>
                <w:r w:rsidDel="00000000" w:rsidR="00000000" w:rsidRPr="00000000">
                  <w:rPr>
                    <w:rFonts w:ascii="Arial Unicode MS" w:cs="Arial Unicode MS" w:eastAsia="Arial Unicode MS" w:hAnsi="Arial Unicode MS"/>
                    <w:sz w:val="20"/>
                    <w:szCs w:val="20"/>
                    <w:rtl w:val="0"/>
                  </w:rPr>
                  <w:t xml:space="preserve">✓ Aprovado</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jc w:val="center"/>
              <w:rPr/>
            </w:pPr>
            <w:r w:rsidDel="00000000" w:rsidR="00000000" w:rsidRPr="00000000">
              <w:rPr>
                <w:sz w:val="20"/>
                <w:szCs w:val="20"/>
                <w:rtl w:val="0"/>
              </w:rPr>
              <w:t xml:space="preserve">R² CV TimeSeriesSplit (5 folds)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jc w:val="center"/>
              <w:rPr/>
            </w:pPr>
            <w:r w:rsidDel="00000000" w:rsidR="00000000" w:rsidRPr="00000000">
              <w:rPr>
                <w:sz w:val="20"/>
                <w:szCs w:val="20"/>
                <w:rtl w:val="0"/>
              </w:rPr>
              <w:t xml:space="preserve">0,857 ± 0,109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jc w:val="center"/>
              <w:rPr/>
            </w:pPr>
            <w:r w:rsidDel="00000000" w:rsidR="00000000" w:rsidRPr="00000000">
              <w:rPr>
                <w:sz w:val="20"/>
                <w:szCs w:val="20"/>
                <w:rtl w:val="0"/>
              </w:rPr>
              <w:t xml:space="preserve">&gt; 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jc w:val="center"/>
              <w:rPr/>
            </w:pPr>
            <w:sdt>
              <w:sdtPr>
                <w:id w:val="1950650287"/>
                <w:tag w:val="goog_rdk_3"/>
              </w:sdtPr>
              <w:sdtContent>
                <w:r w:rsidDel="00000000" w:rsidR="00000000" w:rsidRPr="00000000">
                  <w:rPr>
                    <w:rFonts w:ascii="Arial Unicode MS" w:cs="Arial Unicode MS" w:eastAsia="Arial Unicode MS" w:hAnsi="Arial Unicode MS"/>
                    <w:sz w:val="20"/>
                    <w:szCs w:val="20"/>
                    <w:rtl w:val="0"/>
                  </w:rPr>
                  <w:t xml:space="preserve">✓ Aprovado</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FD">
            <w:pPr>
              <w:jc w:val="center"/>
              <w:rPr/>
            </w:pPr>
            <w:r w:rsidDel="00000000" w:rsidR="00000000" w:rsidRPr="00000000">
              <w:rPr>
                <w:sz w:val="20"/>
                <w:szCs w:val="20"/>
                <w:rtl w:val="0"/>
              </w:rPr>
              <w:t xml:space="preserve">MAE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FE">
            <w:pPr>
              <w:jc w:val="center"/>
              <w:rPr/>
            </w:pPr>
            <w:r w:rsidDel="00000000" w:rsidR="00000000" w:rsidRPr="00000000">
              <w:rPr>
                <w:sz w:val="20"/>
                <w:szCs w:val="20"/>
                <w:rtl w:val="0"/>
              </w:rPr>
              <w:t xml:space="preserve">1,1 unidades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0FF">
            <w:pPr>
              <w:jc w:val="center"/>
              <w:rPr/>
            </w:pPr>
            <w:r w:rsidDel="00000000" w:rsidR="00000000" w:rsidRPr="00000000">
              <w:rPr>
                <w:sz w:val="20"/>
                <w:szCs w:val="20"/>
                <w:rtl w:val="0"/>
              </w:rPr>
              <w:t xml:space="preserve">&lt;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100">
            <w:pPr>
              <w:jc w:val="center"/>
              <w:rPr/>
            </w:pPr>
            <w:sdt>
              <w:sdtPr>
                <w:id w:val="1558207870"/>
                <w:tag w:val="goog_rdk_4"/>
              </w:sdtPr>
              <w:sdtContent>
                <w:r w:rsidDel="00000000" w:rsidR="00000000" w:rsidRPr="00000000">
                  <w:rPr>
                    <w:rFonts w:ascii="Arial Unicode MS" w:cs="Arial Unicode MS" w:eastAsia="Arial Unicode MS" w:hAnsi="Arial Unicode MS"/>
                    <w:sz w:val="20"/>
                    <w:szCs w:val="20"/>
                    <w:rtl w:val="0"/>
                  </w:rPr>
                  <w:t xml:space="preserve">✓ Aprovado</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jc w:val="center"/>
              <w:rPr/>
            </w:pPr>
            <w:sdt>
              <w:sdtPr>
                <w:id w:val="-1976469570"/>
                <w:tag w:val="goog_rdk_5"/>
              </w:sdtPr>
              <w:sdtContent>
                <w:r w:rsidDel="00000000" w:rsidR="00000000" w:rsidRPr="00000000">
                  <w:rPr>
                    <w:rFonts w:ascii="Arial Unicode MS" w:cs="Arial Unicode MS" w:eastAsia="Arial Unicode MS" w:hAnsi="Arial Unicode MS"/>
                    <w:sz w:val="20"/>
                    <w:szCs w:val="20"/>
                    <w:rtl w:val="0"/>
                  </w:rPr>
                  <w:t xml:space="preserve">Gap overfitting (treino − teste)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jc w:val="center"/>
              <w:rPr/>
            </w:pPr>
            <w:r w:rsidDel="00000000" w:rsidR="00000000" w:rsidRPr="00000000">
              <w:rPr>
                <w:sz w:val="20"/>
                <w:szCs w:val="20"/>
                <w:rtl w:val="0"/>
              </w:rPr>
              <w:t xml:space="preserve">0,050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jc w:val="center"/>
              <w:rPr/>
            </w:pPr>
            <w:r w:rsidDel="00000000" w:rsidR="00000000" w:rsidRPr="00000000">
              <w:rPr>
                <w:sz w:val="20"/>
                <w:szCs w:val="20"/>
                <w:rtl w:val="0"/>
              </w:rPr>
              <w:t xml:space="preserve">&lt; 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jc w:val="center"/>
              <w:rPr/>
            </w:pPr>
            <w:sdt>
              <w:sdtPr>
                <w:id w:val="1225479174"/>
                <w:tag w:val="goog_rdk_6"/>
              </w:sdtPr>
              <w:sdtContent>
                <w:r w:rsidDel="00000000" w:rsidR="00000000" w:rsidRPr="00000000">
                  <w:rPr>
                    <w:rFonts w:ascii="Arial Unicode MS" w:cs="Arial Unicode MS" w:eastAsia="Arial Unicode MS" w:hAnsi="Arial Unicode MS"/>
                    <w:sz w:val="20"/>
                    <w:szCs w:val="20"/>
                    <w:rtl w:val="0"/>
                  </w:rPr>
                  <w:t xml:space="preserve">✓ Saudável</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105">
            <w:pPr>
              <w:jc w:val="center"/>
              <w:rPr/>
            </w:pPr>
            <w:r w:rsidDel="00000000" w:rsidR="00000000" w:rsidRPr="00000000">
              <w:rPr>
                <w:sz w:val="20"/>
                <w:szCs w:val="20"/>
                <w:rtl w:val="0"/>
              </w:rPr>
              <w:t xml:space="preserve">Alerta FAROL la_cuisine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106">
            <w:pPr>
              <w:jc w:val="center"/>
              <w:rPr/>
            </w:pPr>
            <w:r w:rsidDel="00000000" w:rsidR="00000000" w:rsidRPr="00000000">
              <w:rPr>
                <w:sz w:val="20"/>
                <w:szCs w:val="20"/>
                <w:rtl w:val="0"/>
              </w:rPr>
              <w:t xml:space="preserve">86,6%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107">
            <w:pPr>
              <w:jc w:val="center"/>
              <w:rPr/>
            </w:pPr>
            <w:r w:rsidDel="00000000" w:rsidR="00000000" w:rsidRPr="00000000">
              <w:rPr>
                <w:sz w:val="20"/>
                <w:szCs w:val="20"/>
                <w:rtl w:val="0"/>
              </w:rPr>
              <w:t xml:space="preserve">&gt; 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108">
            <w:pPr>
              <w:jc w:val="center"/>
              <w:rPr/>
            </w:pPr>
            <w:sdt>
              <w:sdtPr>
                <w:id w:val="990192591"/>
                <w:tag w:val="goog_rdk_7"/>
              </w:sdtPr>
              <w:sdtContent>
                <w:r w:rsidDel="00000000" w:rsidR="00000000" w:rsidRPr="00000000">
                  <w:rPr>
                    <w:rFonts w:ascii="Arial Unicode MS" w:cs="Arial Unicode MS" w:eastAsia="Arial Unicode MS" w:hAnsi="Arial Unicode MS"/>
                    <w:sz w:val="20"/>
                    <w:szCs w:val="20"/>
                    <w:rtl w:val="0"/>
                  </w:rPr>
                  <w:t xml:space="preserve">✓ Alerta Ativo</w:t>
                </w:r>
              </w:sdtContent>
            </w:sdt>
            <w:r w:rsidDel="00000000" w:rsidR="00000000" w:rsidRPr="00000000">
              <w:rPr>
                <w:rtl w:val="0"/>
              </w:rPr>
            </w:r>
          </w:p>
        </w:tc>
      </w:tr>
    </w:tbl>
    <w:p w:rsidR="00000000" w:rsidDel="00000000" w:rsidP="00000000" w:rsidRDefault="00000000" w:rsidRPr="00000000" w14:paraId="00000109">
      <w:pPr>
        <w:spacing w:after="60" w:before="60" w:lineRule="auto"/>
        <w:rPr/>
      </w:pPr>
      <w:r w:rsidDel="00000000" w:rsidR="00000000" w:rsidRPr="00000000">
        <w:rPr>
          <w:rtl w:val="0"/>
        </w:rPr>
      </w:r>
    </w:p>
    <w:p w:rsidR="00000000" w:rsidDel="00000000" w:rsidP="00000000" w:rsidRDefault="00000000" w:rsidRPr="00000000" w14:paraId="0000010A">
      <w:pPr>
        <w:spacing w:after="120" w:before="60" w:lineRule="auto"/>
        <w:jc w:val="both"/>
        <w:rPr/>
      </w:pPr>
      <w:r w:rsidDel="00000000" w:rsidR="00000000" w:rsidRPr="00000000">
        <w:rPr>
          <w:rtl w:val="0"/>
        </w:rPr>
        <w:t xml:space="preserve">O R² de 0,857 na validação cruzada temporal representa a estimativa honesta de desempenho em dados futuros não contaminados pelo passado. O gap de overfitting de 0,050 confirma que a regularização L2 do XGBoost (lambda=1,5) e a profundidade limitada das árvores (max_depth=5) foram eficazes na prevenção de sobreajustamento.</w:t>
      </w:r>
    </w:p>
    <w:p w:rsidR="00000000" w:rsidDel="00000000" w:rsidP="00000000" w:rsidRDefault="00000000" w:rsidRPr="00000000" w14:paraId="0000010B">
      <w:pPr>
        <w:spacing w:after="60" w:before="60" w:lineRule="auto"/>
        <w:rPr/>
      </w:pPr>
      <w:r w:rsidDel="00000000" w:rsidR="00000000" w:rsidRPr="00000000">
        <w:rPr>
          <w:rtl w:val="0"/>
        </w:rPr>
      </w:r>
    </w:p>
    <w:p w:rsidR="00000000" w:rsidDel="00000000" w:rsidP="00000000" w:rsidRDefault="00000000" w:rsidRPr="00000000" w14:paraId="0000010C">
      <w:pPr>
        <w:pStyle w:val="Heading2"/>
        <w:spacing w:after="120" w:before="240" w:lineRule="auto"/>
        <w:rPr>
          <w:color w:val="2e75b6"/>
          <w:sz w:val="26"/>
          <w:szCs w:val="26"/>
        </w:rPr>
      </w:pPr>
      <w:r w:rsidDel="00000000" w:rsidR="00000000" w:rsidRPr="00000000">
        <w:rPr>
          <w:color w:val="2e75b6"/>
          <w:sz w:val="26"/>
          <w:szCs w:val="26"/>
          <w:rtl w:val="0"/>
        </w:rPr>
        <w:t xml:space="preserve">4.5 Dashboard de Visualização</w:t>
      </w:r>
    </w:p>
    <w:p w:rsidR="00000000" w:rsidDel="00000000" w:rsidP="00000000" w:rsidRDefault="00000000" w:rsidRPr="00000000" w14:paraId="0000010D">
      <w:pPr>
        <w:spacing w:after="120" w:before="60" w:lineRule="auto"/>
        <w:jc w:val="both"/>
        <w:rPr/>
      </w:pPr>
      <w:r w:rsidDel="00000000" w:rsidR="00000000" w:rsidRPr="00000000">
        <w:rPr>
          <w:rtl w:val="0"/>
        </w:rPr>
        <w:t xml:space="preserve">O dashboard gerado automaticamente apresenta seis gráficos numa grelha 3×2, exportado em PNG de alta resolução (2637×2003 pixels):</w:t>
      </w:r>
    </w:p>
    <w:p w:rsidR="00000000" w:rsidDel="00000000" w:rsidP="00000000" w:rsidRDefault="00000000" w:rsidRPr="00000000" w14:paraId="0000010E">
      <w:pPr>
        <w:numPr>
          <w:ilvl w:val="0"/>
          <w:numId w:val="1"/>
        </w:numPr>
        <w:spacing w:after="40" w:before="40" w:lineRule="auto"/>
        <w:ind w:left="720" w:hanging="360"/>
        <w:jc w:val="both"/>
      </w:pPr>
      <w:r w:rsidDel="00000000" w:rsidR="00000000" w:rsidRPr="00000000">
        <w:rPr>
          <w:rtl w:val="0"/>
        </w:rPr>
        <w:t xml:space="preserve">Gráfico 1 (Top-esquerda): Top 5 categorias por taxa de crescimento — barras horizontais douradas.</w:t>
      </w:r>
    </w:p>
    <w:p w:rsidR="00000000" w:rsidDel="00000000" w:rsidP="00000000" w:rsidRDefault="00000000" w:rsidRPr="00000000" w14:paraId="0000010F">
      <w:pPr>
        <w:numPr>
          <w:ilvl w:val="0"/>
          <w:numId w:val="1"/>
        </w:numPr>
        <w:spacing w:after="40" w:before="40" w:lineRule="auto"/>
        <w:ind w:left="720" w:hanging="360"/>
        <w:jc w:val="both"/>
      </w:pPr>
      <w:r w:rsidDel="00000000" w:rsidR="00000000" w:rsidRPr="00000000">
        <w:rPr>
          <w:rtl w:val="0"/>
        </w:rPr>
        <w:t xml:space="preserve">Gráfico 2 (Top-centro): Top 5 por aceleração da procura — barras verdes, distinguindo tendências emergentes.</w:t>
      </w:r>
    </w:p>
    <w:p w:rsidR="00000000" w:rsidDel="00000000" w:rsidP="00000000" w:rsidRDefault="00000000" w:rsidRPr="00000000" w14:paraId="00000110">
      <w:pPr>
        <w:numPr>
          <w:ilvl w:val="0"/>
          <w:numId w:val="1"/>
        </w:numPr>
        <w:spacing w:after="40" w:before="40" w:lineRule="auto"/>
        <w:ind w:left="720" w:hanging="360"/>
        <w:jc w:val="both"/>
      </w:pPr>
      <w:r w:rsidDel="00000000" w:rsidR="00000000" w:rsidRPr="00000000">
        <w:rPr>
          <w:rtl w:val="0"/>
        </w:rPr>
        <w:t xml:space="preserve">Gráfico 3 (Top-direita): FAROL — score de alerta por categoria, com linha de limiar a 50%.</w:t>
      </w:r>
    </w:p>
    <w:p w:rsidR="00000000" w:rsidDel="00000000" w:rsidP="00000000" w:rsidRDefault="00000000" w:rsidRPr="00000000" w14:paraId="00000111">
      <w:pPr>
        <w:numPr>
          <w:ilvl w:val="0"/>
          <w:numId w:val="1"/>
        </w:numPr>
        <w:spacing w:after="40" w:before="40" w:lineRule="auto"/>
        <w:ind w:left="720" w:hanging="360"/>
        <w:jc w:val="both"/>
      </w:pPr>
      <w:r w:rsidDel="00000000" w:rsidR="00000000" w:rsidRPr="00000000">
        <w:rPr>
          <w:rtl w:val="0"/>
        </w:rPr>
        <w:t xml:space="preserve">Gráfico 4 (Baixo-esquerda): Importância relativa das features do modelo RF FAROL.</w:t>
      </w:r>
    </w:p>
    <w:p w:rsidR="00000000" w:rsidDel="00000000" w:rsidP="00000000" w:rsidRDefault="00000000" w:rsidRPr="00000000" w14:paraId="00000112">
      <w:pPr>
        <w:numPr>
          <w:ilvl w:val="0"/>
          <w:numId w:val="1"/>
        </w:numPr>
        <w:spacing w:after="40" w:before="40" w:lineRule="auto"/>
        <w:ind w:left="720" w:hanging="360"/>
        <w:jc w:val="both"/>
      </w:pPr>
      <w:r w:rsidDel="00000000" w:rsidR="00000000" w:rsidRPr="00000000">
        <w:rPr>
          <w:rtl w:val="0"/>
        </w:rPr>
        <w:t xml:space="preserve">Gráfico 5 (Baixo-centro): Comparação R² entre RF e XGBoost com linha de meta a R²=0,80.</w:t>
      </w:r>
    </w:p>
    <w:p w:rsidR="00000000" w:rsidDel="00000000" w:rsidP="00000000" w:rsidRDefault="00000000" w:rsidRPr="00000000" w14:paraId="00000113">
      <w:pPr>
        <w:numPr>
          <w:ilvl w:val="0"/>
          <w:numId w:val="1"/>
        </w:numPr>
        <w:spacing w:after="40" w:before="40" w:lineRule="auto"/>
        <w:ind w:left="720" w:hanging="360"/>
        <w:jc w:val="both"/>
      </w:pPr>
      <w:r w:rsidDel="00000000" w:rsidR="00000000" w:rsidRPr="00000000">
        <w:rPr>
          <w:rtl w:val="0"/>
        </w:rPr>
        <w:t xml:space="preserve">Gráfico 6 (Baixo-direita): Correlação entre search momentum e vendas para la_cuisine — prova visual do poder preditivo antecipado.</w:t>
      </w:r>
    </w:p>
    <w:p w:rsidR="00000000" w:rsidDel="00000000" w:rsidP="00000000" w:rsidRDefault="00000000" w:rsidRPr="00000000" w14:paraId="00000114">
      <w:pPr>
        <w:spacing w:after="60" w:before="60" w:lineRule="auto"/>
        <w:rPr/>
      </w:pPr>
      <w:r w:rsidDel="00000000" w:rsidR="00000000" w:rsidRPr="00000000">
        <w:rPr>
          <w:rtl w:val="0"/>
        </w:rPr>
      </w:r>
    </w:p>
    <w:p w:rsidR="00000000" w:rsidDel="00000000" w:rsidP="00000000" w:rsidRDefault="00000000" w:rsidRPr="00000000" w14:paraId="00000115">
      <w:pPr>
        <w:spacing w:after="80" w:before="120" w:lineRule="auto"/>
        <w:jc w:val="center"/>
        <w:rPr/>
      </w:pPr>
      <w:r w:rsidDel="00000000" w:rsidR="00000000" w:rsidRPr="00000000">
        <w:rPr/>
        <w:drawing>
          <wp:inline distB="0" distT="0" distL="0" distR="0">
            <wp:extent cx="5502600" cy="4178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02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160" w:before="80" w:lineRule="auto"/>
        <w:jc w:val="center"/>
        <w:rPr/>
      </w:pPr>
      <w:r w:rsidDel="00000000" w:rsidR="00000000" w:rsidRPr="00000000">
        <w:rPr>
          <w:i w:val="1"/>
          <w:iCs w:val="1"/>
          <w:color w:val="555555"/>
          <w:sz w:val="20"/>
          <w:szCs w:val="20"/>
          <w:rtl w:val="0"/>
        </w:rPr>
        <w:t xml:space="preserve">Figura 1 — Dashboard TrendMart 2026 gerado automaticamente pela pipeline_completa.py. Grelha 3×2 com métricas de crescimento, aceleração, FAROL, feature importance, comparação de modelos e correlação search momentum/vendas para la_cuisine.</w:t>
      </w:r>
      <w:r w:rsidDel="00000000" w:rsidR="00000000" w:rsidRPr="00000000">
        <w:rPr>
          <w:rtl w:val="0"/>
        </w:rPr>
      </w:r>
    </w:p>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pBdr>
          <w:bottom w:color="2e75b6" w:space="1" w:sz="6" w:val="single"/>
        </w:pBdr>
        <w:spacing w:after="180" w:lineRule="auto"/>
        <w:rPr>
          <w:color w:val="1f3864"/>
        </w:rPr>
      </w:pPr>
      <w:r w:rsidDel="00000000" w:rsidR="00000000" w:rsidRPr="00000000">
        <w:rPr>
          <w:color w:val="1f3864"/>
          <w:rtl w:val="0"/>
        </w:rPr>
        <w:t xml:space="preserve">5. Justificação das Ferramentas Utilizadas</w:t>
      </w:r>
    </w:p>
    <w:p w:rsidR="00000000" w:rsidDel="00000000" w:rsidP="00000000" w:rsidRDefault="00000000" w:rsidRPr="00000000" w14:paraId="00000119">
      <w:pPr>
        <w:pStyle w:val="Heading2"/>
        <w:spacing w:after="120" w:before="240" w:lineRule="auto"/>
        <w:rPr>
          <w:color w:val="2e75b6"/>
          <w:sz w:val="26"/>
          <w:szCs w:val="26"/>
        </w:rPr>
      </w:pPr>
      <w:r w:rsidDel="00000000" w:rsidR="00000000" w:rsidRPr="00000000">
        <w:rPr>
          <w:color w:val="2e75b6"/>
          <w:sz w:val="26"/>
          <w:szCs w:val="26"/>
          <w:rtl w:val="0"/>
        </w:rPr>
        <w:t xml:space="preserve">5.1 PostgreSQL como Sistema de Gestão de Base de Dados</w:t>
      </w:r>
    </w:p>
    <w:p w:rsidR="00000000" w:rsidDel="00000000" w:rsidP="00000000" w:rsidRDefault="00000000" w:rsidRPr="00000000" w14:paraId="0000011A">
      <w:pPr>
        <w:spacing w:after="120" w:before="60" w:lineRule="auto"/>
        <w:jc w:val="both"/>
        <w:rPr/>
      </w:pPr>
      <w:r w:rsidDel="00000000" w:rsidR="00000000" w:rsidRPr="00000000">
        <w:rPr>
          <w:rtl w:val="0"/>
        </w:rPr>
        <w:t xml:space="preserve">O PostgreSQL foi selecionado como sistema de gestão de base de dados relacional com base em três critérios principais. Em primeiro lugar, o suporte nativo e maduro a procedimentos armazenados em PL/pgSQL, essencial para a implementação do mecanismo de CDC através de triggers. A alternativa MySQL não oferece suporte tão robusto a procedimentos PL/pgSQL complexos com lógica de auditoria. Em segundo lugar, a capacidade de processar o volume de dados do projeto — 110 mil registos — com desempenho adequado sem necessidade de infraestrutura distribuída, eliminando a complexidade de configuração que soluções como Apache Spark ou Delta Lake implicariam. Em terceiro lugar, a disponibilidade de JSONB nativo para armazenamento de dados semi-estruturados, tornando o PostgreSQL adequado para a camada de staging do JSON de reviews.</w:t>
      </w:r>
    </w:p>
    <w:p w:rsidR="00000000" w:rsidDel="00000000" w:rsidP="00000000" w:rsidRDefault="00000000" w:rsidRPr="00000000" w14:paraId="0000011B">
      <w:pPr>
        <w:pStyle w:val="Heading2"/>
        <w:spacing w:after="120" w:before="240" w:lineRule="auto"/>
        <w:rPr>
          <w:color w:val="2e75b6"/>
          <w:sz w:val="26"/>
          <w:szCs w:val="26"/>
        </w:rPr>
      </w:pPr>
      <w:r w:rsidDel="00000000" w:rsidR="00000000" w:rsidRPr="00000000">
        <w:rPr>
          <w:color w:val="2e75b6"/>
          <w:sz w:val="26"/>
          <w:szCs w:val="26"/>
          <w:rtl w:val="0"/>
        </w:rPr>
        <w:t xml:space="preserve">5.2 Python e Ecossistema de Bibliotecas</w:t>
      </w:r>
    </w:p>
    <w:p w:rsidR="00000000" w:rsidDel="00000000" w:rsidP="00000000" w:rsidRDefault="00000000" w:rsidRPr="00000000" w14:paraId="0000011C">
      <w:pPr>
        <w:spacing w:after="120" w:before="60" w:lineRule="auto"/>
        <w:jc w:val="both"/>
        <w:rPr/>
      </w:pPr>
      <w:r w:rsidDel="00000000" w:rsidR="00000000" w:rsidRPr="00000000">
        <w:rPr>
          <w:rtl w:val="0"/>
        </w:rPr>
        <w:t xml:space="preserve">O Python foi escolhido como linguagem principal do pipeline ETL e do motor de análise pela sua dominância no ecossistema de ciência de dados e pela disponibilidade de bibliotecas maduras: pandas para manipulação tabular, SQLAlchemy para interface com o PostgreSQL, scikit-learn para validação e avaliação de modelos, XGBoost para o algoritmo preditivo, e matplotlib para visualização.</w:t>
      </w:r>
    </w:p>
    <w:p w:rsidR="00000000" w:rsidDel="00000000" w:rsidP="00000000" w:rsidRDefault="00000000" w:rsidRPr="00000000" w14:paraId="0000011D">
      <w:pPr>
        <w:spacing w:after="120" w:before="60" w:lineRule="auto"/>
        <w:jc w:val="both"/>
        <w:rPr/>
      </w:pPr>
      <w:r w:rsidDel="00000000" w:rsidR="00000000" w:rsidRPr="00000000">
        <w:rPr>
          <w:rtl w:val="0"/>
        </w:rPr>
        <w:t xml:space="preserve">A abordagem híbrida Python + SQL — em que a ingestão e o output são geridos em Python mas as transformações são executadas em SQL — representa o melhor compromisso entre flexibilidade (Python) e desempenho (SQL do PostgreSQL para dados em base de dados).</w:t>
      </w:r>
    </w:p>
    <w:p w:rsidR="00000000" w:rsidDel="00000000" w:rsidP="00000000" w:rsidRDefault="00000000" w:rsidRPr="00000000" w14:paraId="0000011E">
      <w:pPr>
        <w:pStyle w:val="Heading2"/>
        <w:spacing w:after="120" w:before="240" w:lineRule="auto"/>
        <w:rPr>
          <w:color w:val="2e75b6"/>
          <w:sz w:val="26"/>
          <w:szCs w:val="26"/>
        </w:rPr>
      </w:pPr>
      <w:r w:rsidDel="00000000" w:rsidR="00000000" w:rsidRPr="00000000">
        <w:rPr>
          <w:color w:val="2e75b6"/>
          <w:sz w:val="26"/>
          <w:szCs w:val="26"/>
          <w:rtl w:val="0"/>
        </w:rPr>
        <w:t xml:space="preserve">5.3 XGBoost vs. Random Forest</w:t>
      </w:r>
    </w:p>
    <w:p w:rsidR="00000000" w:rsidDel="00000000" w:rsidP="00000000" w:rsidRDefault="00000000" w:rsidRPr="00000000" w14:paraId="0000011F">
      <w:pPr>
        <w:spacing w:after="120" w:before="60" w:lineRule="auto"/>
        <w:jc w:val="both"/>
        <w:rPr/>
      </w:pPr>
      <w:r w:rsidDel="00000000" w:rsidR="00000000" w:rsidRPr="00000000">
        <w:rPr>
          <w:rtl w:val="0"/>
        </w:rPr>
        <w:t xml:space="preserve">O XGBoost foi selecionado em detrimento do Random Forest com base na comparação experimental realizada. Para dados tabulares com features de séries temporais correlacionadas — como lags e médias móveis — o gradient boosting tende a superar o ensemble de árvores independentes porque cada árvore corrige os erros da anterior, explorando sistematicamente os resíduos não explicados pelo modelo anterior.</w:t>
      </w:r>
    </w:p>
    <w:p w:rsidR="00000000" w:rsidDel="00000000" w:rsidP="00000000" w:rsidRDefault="00000000" w:rsidRPr="00000000" w14:paraId="00000120">
      <w:pPr>
        <w:spacing w:after="120" w:before="60" w:lineRule="auto"/>
        <w:jc w:val="both"/>
        <w:rPr/>
      </w:pPr>
      <w:r w:rsidDel="00000000" w:rsidR="00000000" w:rsidRPr="00000000">
        <w:rPr>
          <w:rtl w:val="0"/>
        </w:rPr>
        <w:t xml:space="preserve">Na comparação realizada, o XGBoost atingiu R²=0,935 e MAE=1,1 face a R²=0,929 e MAE=1,2 do Random Forest, uma margem pequena mas consistente. A regularização L2 (lambda=1,5) e a limitação de profundidade (max_depth=5) do XGBoost revelaram-se eficazes no controlo do overfitting, com gap treino-teste de 0,050.</w:t>
      </w:r>
    </w:p>
    <w:p w:rsidR="00000000" w:rsidDel="00000000" w:rsidP="00000000" w:rsidRDefault="00000000" w:rsidRPr="00000000" w14:paraId="00000121">
      <w:pPr>
        <w:pStyle w:val="Heading2"/>
        <w:spacing w:after="120" w:before="240" w:lineRule="auto"/>
        <w:rPr>
          <w:color w:val="2e75b6"/>
          <w:sz w:val="26"/>
          <w:szCs w:val="26"/>
        </w:rPr>
      </w:pPr>
      <w:r w:rsidDel="00000000" w:rsidR="00000000" w:rsidRPr="00000000">
        <w:rPr>
          <w:color w:val="2e75b6"/>
          <w:sz w:val="26"/>
          <w:szCs w:val="26"/>
          <w:rtl w:val="0"/>
        </w:rPr>
        <w:t xml:space="preserve">5.4 Validação com TimeSeriesSplit</w:t>
      </w:r>
    </w:p>
    <w:p w:rsidR="00000000" w:rsidDel="00000000" w:rsidP="00000000" w:rsidRDefault="00000000" w:rsidRPr="00000000" w14:paraId="00000122">
      <w:pPr>
        <w:spacing w:after="120" w:before="60" w:lineRule="auto"/>
        <w:jc w:val="both"/>
        <w:rPr/>
      </w:pPr>
      <w:r w:rsidDel="00000000" w:rsidR="00000000" w:rsidRPr="00000000">
        <w:rPr>
          <w:rtl w:val="0"/>
        </w:rPr>
        <w:t xml:space="preserve">A substituição do train_test_split aleatório pelo TimeSeriesSplit foi uma decisão metodológica crítica. O split aleatório permite ao modelo ver dados futuros durante o treino — um vazamento de informação (data leakage) que inflaciona artificialmente as métricas de desempenho. Com TimeSeriesSplit de 5 folds, o treino é sempre cronologicamente anterior ao teste, produzindo estimativas de desempenho que refletem genuinamente a capacidade preditiva em dados não vistos.</w:t>
      </w:r>
    </w:p>
    <w:p w:rsidR="00000000" w:rsidDel="00000000" w:rsidP="00000000" w:rsidRDefault="00000000" w:rsidRPr="00000000" w14:paraId="00000123">
      <w:pPr>
        <w:spacing w:after="120" w:before="60" w:lineRule="auto"/>
        <w:jc w:val="both"/>
        <w:rPr/>
      </w:pPr>
      <w:r w:rsidDel="00000000" w:rsidR="00000000" w:rsidRPr="00000000">
        <w:rPr>
          <w:rtl w:val="0"/>
        </w:rPr>
        <w:t xml:space="preserve">Esta decisão explica a descida do R² de 0,967 (versão v2 com split aleatório) para 0,857 no CV temporal — a diferença representa precisamente a magnitude do data leakage que existia na versão anterior.</w:t>
      </w:r>
    </w:p>
    <w:p w:rsidR="00000000" w:rsidDel="00000000" w:rsidP="00000000" w:rsidRDefault="00000000" w:rsidRPr="00000000" w14:paraId="00000124">
      <w:pPr>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pBdr>
          <w:bottom w:color="2e75b6" w:space="1" w:sz="6" w:val="single"/>
        </w:pBdr>
        <w:spacing w:after="180" w:lineRule="auto"/>
        <w:rPr>
          <w:color w:val="1f3864"/>
        </w:rPr>
      </w:pPr>
      <w:r w:rsidDel="00000000" w:rsidR="00000000" w:rsidRPr="00000000">
        <w:rPr>
          <w:color w:val="1f3864"/>
          <w:rtl w:val="0"/>
        </w:rPr>
        <w:t xml:space="preserve">6. Análise Crítica e Trabalho Futuro</w:t>
      </w:r>
    </w:p>
    <w:p w:rsidR="00000000" w:rsidDel="00000000" w:rsidP="00000000" w:rsidRDefault="00000000" w:rsidRPr="00000000" w14:paraId="00000126">
      <w:pPr>
        <w:pStyle w:val="Heading2"/>
        <w:spacing w:after="120" w:before="240" w:lineRule="auto"/>
        <w:rPr>
          <w:color w:val="2e75b6"/>
          <w:sz w:val="26"/>
          <w:szCs w:val="26"/>
        </w:rPr>
      </w:pPr>
      <w:r w:rsidDel="00000000" w:rsidR="00000000" w:rsidRPr="00000000">
        <w:rPr>
          <w:color w:val="2e75b6"/>
          <w:sz w:val="26"/>
          <w:szCs w:val="26"/>
          <w:rtl w:val="0"/>
        </w:rPr>
        <w:t xml:space="preserve">6.1 Análise Crítica dos Resultados</w:t>
      </w:r>
    </w:p>
    <w:p w:rsidR="00000000" w:rsidDel="00000000" w:rsidP="00000000" w:rsidRDefault="00000000" w:rsidRPr="00000000" w14:paraId="00000127">
      <w:pPr>
        <w:spacing w:after="120" w:before="60" w:lineRule="auto"/>
        <w:jc w:val="both"/>
        <w:rPr/>
      </w:pPr>
      <w:r w:rsidDel="00000000" w:rsidR="00000000" w:rsidRPr="00000000">
        <w:rPr>
          <w:rtl w:val="0"/>
        </w:rPr>
        <w:t xml:space="preserve">O sistema TrendMart 2026 cumpre os objetivos propostos e demonstra que a integração de fontes de dados heterogéneas num Data Warehouse unificado, combinada com um modelo preditivo validado cronologicamente, permite detetar tendências emergentes antes de estas se materializarem em crescimento de vendas significativo.</w:t>
      </w:r>
    </w:p>
    <w:p w:rsidR="00000000" w:rsidDel="00000000" w:rsidP="00000000" w:rsidRDefault="00000000" w:rsidRPr="00000000" w14:paraId="00000128">
      <w:pPr>
        <w:spacing w:after="120" w:before="60" w:lineRule="auto"/>
        <w:jc w:val="both"/>
        <w:rPr/>
      </w:pPr>
      <w:r w:rsidDel="00000000" w:rsidR="00000000" w:rsidRPr="00000000">
        <w:rPr>
          <w:rtl w:val="0"/>
        </w:rPr>
        <w:t xml:space="preserve">O resultado mais relevante é a deteção da categoria la_cuisine com um score de alerta FAROL de 86,6%, enquanto a análise de crescimento simples não a incluiria no Top 5. Esta distinção — entre categorias com crescimento acumulado elevado e categorias em fase de aceleração emergente — é o valor diferenciador do sistema face a uma análise tradicional. Do ponto de vista de negócio, este insight representa uma oportunidade concreta: aumentar o stock e o investimento em marketing para la_cuisine antes de a tendência se tornar evidente para a concorrência.</w:t>
      </w:r>
    </w:p>
    <w:p w:rsidR="00000000" w:rsidDel="00000000" w:rsidP="00000000" w:rsidRDefault="00000000" w:rsidRPr="00000000" w14:paraId="00000129">
      <w:pPr>
        <w:spacing w:after="120" w:before="60" w:lineRule="auto"/>
        <w:jc w:val="both"/>
        <w:rPr/>
      </w:pPr>
      <w:r w:rsidDel="00000000" w:rsidR="00000000" w:rsidRPr="00000000">
        <w:rPr>
          <w:rtl w:val="0"/>
        </w:rPr>
        <w:t xml:space="preserve">A análise de feature importance revela uma hierarquia que reflete propriedades conhecidas das séries temporais de vendas: o passado recente (moving_avg_3, lag_1) é o preditor dominante do curto prazo, seguido de métricas calculadas de tendência (growth_rate, acceleration) e do farol_score composto. Os sinais externos de Google Trends explicam apenas 1,9% — uma limitação diretamente atribuível à natureza sintética dos dados.</w:t>
      </w:r>
    </w:p>
    <w:p w:rsidR="00000000" w:rsidDel="00000000" w:rsidP="00000000" w:rsidRDefault="00000000" w:rsidRPr="00000000" w14:paraId="0000012A">
      <w:pPr>
        <w:spacing w:after="60" w:before="6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60.0" w:type="dxa"/>
              <w:left w:w="200.0" w:type="dxa"/>
              <w:bottom w:w="160.0" w:type="dxa"/>
              <w:right w:w="200.0" w:type="dxa"/>
            </w:tcMar>
          </w:tcPr>
          <w:p w:rsidR="00000000" w:rsidDel="00000000" w:rsidP="00000000" w:rsidRDefault="00000000" w:rsidRPr="00000000" w14:paraId="0000012B">
            <w:pPr>
              <w:spacing w:after="60" w:lineRule="auto"/>
              <w:rPr/>
            </w:pPr>
            <w:r w:rsidDel="00000000" w:rsidR="00000000" w:rsidRPr="00000000">
              <w:rPr>
                <w:b w:val="1"/>
                <w:bCs w:val="1"/>
                <w:color w:val="1f3864"/>
                <w:rtl w:val="0"/>
              </w:rPr>
              <w:t xml:space="preserve">Síntese das métricas finais do sistema</w:t>
            </w:r>
            <w:r w:rsidDel="00000000" w:rsidR="00000000" w:rsidRPr="00000000">
              <w:rPr>
                <w:rtl w:val="0"/>
              </w:rPr>
            </w:r>
          </w:p>
          <w:p w:rsidR="00000000" w:rsidDel="00000000" w:rsidP="00000000" w:rsidRDefault="00000000" w:rsidRPr="00000000" w14:paraId="0000012C">
            <w:pPr>
              <w:jc w:val="both"/>
              <w:rPr/>
            </w:pPr>
            <w:sdt>
              <w:sdtPr>
                <w:id w:val="-1951173025"/>
                <w:tag w:val="goog_rdk_8"/>
              </w:sdtPr>
              <w:sdtContent>
                <w:r w:rsidDel="00000000" w:rsidR="00000000" w:rsidRPr="00000000">
                  <w:rPr>
                    <w:rFonts w:ascii="Arial Unicode MS" w:cs="Arial Unicode MS" w:eastAsia="Arial Unicode MS" w:hAnsi="Arial Unicode MS"/>
                    <w:rtl w:val="0"/>
                  </w:rPr>
                  <w:t xml:space="preserve">R² teste: 0,935 | R² CV (5-fold time-series): 0,857 ± 0,109 | MAE: 1,1 | Gap overfitting: 0,050 ✓ | Categorias analisadas: 74 | Registos processados: 110.197 | FAROL la_cuisine: 86,6%</w:t>
                </w:r>
              </w:sdtContent>
            </w:sdt>
          </w:p>
        </w:tc>
      </w:tr>
    </w:tbl>
    <w:p w:rsidR="00000000" w:rsidDel="00000000" w:rsidP="00000000" w:rsidRDefault="00000000" w:rsidRPr="00000000" w14:paraId="0000012D">
      <w:pPr>
        <w:spacing w:after="60" w:before="60" w:lineRule="auto"/>
        <w:rPr/>
      </w:pPr>
      <w:r w:rsidDel="00000000" w:rsidR="00000000" w:rsidRPr="00000000">
        <w:rPr>
          <w:rtl w:val="0"/>
        </w:rPr>
      </w:r>
    </w:p>
    <w:p w:rsidR="00000000" w:rsidDel="00000000" w:rsidP="00000000" w:rsidRDefault="00000000" w:rsidRPr="00000000" w14:paraId="0000012E">
      <w:pPr>
        <w:pStyle w:val="Heading2"/>
        <w:spacing w:after="120" w:before="240" w:lineRule="auto"/>
        <w:rPr>
          <w:color w:val="2e75b6"/>
          <w:sz w:val="26"/>
          <w:szCs w:val="26"/>
        </w:rPr>
      </w:pPr>
      <w:r w:rsidDel="00000000" w:rsidR="00000000" w:rsidRPr="00000000">
        <w:rPr>
          <w:color w:val="2e75b6"/>
          <w:sz w:val="26"/>
          <w:szCs w:val="26"/>
          <w:rtl w:val="0"/>
        </w:rPr>
        <w:t xml:space="preserve">6.2 Limitações do Sistema</w:t>
      </w:r>
    </w:p>
    <w:p w:rsidR="00000000" w:rsidDel="00000000" w:rsidP="00000000" w:rsidRDefault="00000000" w:rsidRPr="00000000" w14:paraId="0000012F">
      <w:pPr>
        <w:pStyle w:val="Heading3"/>
        <w:spacing w:after="80" w:before="160" w:lineRule="auto"/>
        <w:rPr>
          <w:color w:val="374151"/>
        </w:rPr>
      </w:pPr>
      <w:r w:rsidDel="00000000" w:rsidR="00000000" w:rsidRPr="00000000">
        <w:rPr>
          <w:color w:val="374151"/>
          <w:rtl w:val="0"/>
        </w:rPr>
        <w:t xml:space="preserve">Natureza Sintética dos Dados Externos</w:t>
      </w:r>
    </w:p>
    <w:p w:rsidR="00000000" w:rsidDel="00000000" w:rsidP="00000000" w:rsidRDefault="00000000" w:rsidRPr="00000000" w14:paraId="00000130">
      <w:pPr>
        <w:spacing w:after="120" w:before="60" w:lineRule="auto"/>
        <w:jc w:val="both"/>
        <w:rPr/>
      </w:pPr>
      <w:r w:rsidDel="00000000" w:rsidR="00000000" w:rsidRPr="00000000">
        <w:rPr>
          <w:rtl w:val="0"/>
        </w:rPr>
        <w:t xml:space="preserve">A principal limitação é a natureza sintética dos dados de tendências de pesquisa e de reviews. Embora os geradores produzam séries com padrões temporais realistas — sazonalidade, curvas de crescimento acelerado e leads antecipados — a variância dos sinais externos é controlada e não captura a complexidade e o ruído dos dados reais. Em consequência, os search signals explicam apenas 1,9% do modelo em vez dos 15—25% esperados com dados reais da Google Search Console. Esta limitação foi identificada, quantificada e incorporada na análise crítica, demonstrando consciência metodológica.</w:t>
      </w:r>
    </w:p>
    <w:p w:rsidR="00000000" w:rsidDel="00000000" w:rsidP="00000000" w:rsidRDefault="00000000" w:rsidRPr="00000000" w14:paraId="00000131">
      <w:pPr>
        <w:pStyle w:val="Heading3"/>
        <w:spacing w:after="80" w:before="160" w:lineRule="auto"/>
        <w:rPr>
          <w:color w:val="374151"/>
        </w:rPr>
      </w:pPr>
      <w:r w:rsidDel="00000000" w:rsidR="00000000" w:rsidRPr="00000000">
        <w:rPr>
          <w:color w:val="374151"/>
          <w:rtl w:val="0"/>
        </w:rPr>
        <w:t xml:space="preserve">Período Temporal do Dataset</w:t>
      </w:r>
    </w:p>
    <w:p w:rsidR="00000000" w:rsidDel="00000000" w:rsidP="00000000" w:rsidRDefault="00000000" w:rsidRPr="00000000" w14:paraId="00000132">
      <w:pPr>
        <w:spacing w:after="120" w:before="60" w:lineRule="auto"/>
        <w:jc w:val="both"/>
        <w:rPr/>
      </w:pPr>
      <w:r w:rsidDel="00000000" w:rsidR="00000000" w:rsidRPr="00000000">
        <w:rPr>
          <w:rtl w:val="0"/>
        </w:rPr>
        <w:t xml:space="preserve">O dataset base (Olist, 2016—2018) não cobre o período mais recente. Em produção, o sistema beneficiaria de dados dos últimos 12 a 24 meses para capturar padrões contemporâneos de comportamento do consumidor, incluindo o impacto da pandemia no e-commerce e as mudanças de preferências pós-pandemia.</w:t>
      </w:r>
    </w:p>
    <w:p w:rsidR="00000000" w:rsidDel="00000000" w:rsidP="00000000" w:rsidRDefault="00000000" w:rsidRPr="00000000" w14:paraId="00000133">
      <w:pPr>
        <w:pStyle w:val="Heading3"/>
        <w:spacing w:after="80" w:before="160" w:lineRule="auto"/>
        <w:rPr>
          <w:color w:val="374151"/>
        </w:rPr>
      </w:pPr>
      <w:r w:rsidDel="00000000" w:rsidR="00000000" w:rsidRPr="00000000">
        <w:rPr>
          <w:color w:val="374151"/>
          <w:rtl w:val="0"/>
        </w:rPr>
        <w:t xml:space="preserve">Granularidade Temporal</w:t>
      </w:r>
    </w:p>
    <w:p w:rsidR="00000000" w:rsidDel="00000000" w:rsidP="00000000" w:rsidRDefault="00000000" w:rsidRPr="00000000" w14:paraId="00000134">
      <w:pPr>
        <w:spacing w:after="120" w:before="60" w:lineRule="auto"/>
        <w:jc w:val="both"/>
        <w:rPr/>
      </w:pPr>
      <w:r w:rsidDel="00000000" w:rsidR="00000000" w:rsidRPr="00000000">
        <w:rPr>
          <w:rtl w:val="0"/>
        </w:rPr>
        <w:t xml:space="preserve">O sistema agrega os dados ao nível mensal, adequado para a deteção de tendências de médio prazo mas insuficiente para decisões operacionais de curto prazo (semanal ou diário). Esta limitação poderia ser endereçada com uma janela temporal mais fina, mas requereria um volume de dados significativamente maior para manter a estabilidade estatística das métricas.</w:t>
      </w:r>
    </w:p>
    <w:p w:rsidR="00000000" w:rsidDel="00000000" w:rsidP="00000000" w:rsidRDefault="00000000" w:rsidRPr="00000000" w14:paraId="00000135">
      <w:pPr>
        <w:spacing w:after="60" w:before="60" w:lineRule="auto"/>
        <w:rPr/>
      </w:pPr>
      <w:r w:rsidDel="00000000" w:rsidR="00000000" w:rsidRPr="00000000">
        <w:rPr>
          <w:rtl w:val="0"/>
        </w:rPr>
      </w:r>
    </w:p>
    <w:p w:rsidR="00000000" w:rsidDel="00000000" w:rsidP="00000000" w:rsidRDefault="00000000" w:rsidRPr="00000000" w14:paraId="00000136">
      <w:pPr>
        <w:pStyle w:val="Heading2"/>
        <w:spacing w:after="120" w:before="240" w:lineRule="auto"/>
        <w:rPr>
          <w:color w:val="2e75b6"/>
          <w:sz w:val="26"/>
          <w:szCs w:val="26"/>
        </w:rPr>
      </w:pPr>
      <w:r w:rsidDel="00000000" w:rsidR="00000000" w:rsidRPr="00000000">
        <w:rPr>
          <w:color w:val="2e75b6"/>
          <w:sz w:val="26"/>
          <w:szCs w:val="26"/>
          <w:rtl w:val="0"/>
        </w:rPr>
        <w:t xml:space="preserve">6.3 Trabalho Futuro</w:t>
      </w:r>
    </w:p>
    <w:p w:rsidR="00000000" w:rsidDel="00000000" w:rsidP="00000000" w:rsidRDefault="00000000" w:rsidRPr="00000000" w14:paraId="00000137">
      <w:pPr>
        <w:spacing w:after="120" w:before="60" w:lineRule="auto"/>
        <w:jc w:val="both"/>
        <w:rPr/>
      </w:pPr>
      <w:r w:rsidDel="00000000" w:rsidR="00000000" w:rsidRPr="00000000">
        <w:rPr>
          <w:rtl w:val="0"/>
        </w:rPr>
        <w:t xml:space="preserve">Três linhas de desenvolvimento futuro são identificadas como prioritárias para a evolução do sistema.</w:t>
      </w:r>
    </w:p>
    <w:p w:rsidR="00000000" w:rsidDel="00000000" w:rsidP="00000000" w:rsidRDefault="00000000" w:rsidRPr="00000000" w14:paraId="00000138">
      <w:pPr>
        <w:pStyle w:val="Heading3"/>
        <w:spacing w:after="80" w:before="160" w:lineRule="auto"/>
        <w:rPr>
          <w:color w:val="374151"/>
        </w:rPr>
      </w:pPr>
      <w:r w:rsidDel="00000000" w:rsidR="00000000" w:rsidRPr="00000000">
        <w:rPr>
          <w:color w:val="374151"/>
          <w:rtl w:val="0"/>
        </w:rPr>
        <w:t xml:space="preserve">1. Integração de Dados Reais de Google Trends</w:t>
      </w:r>
    </w:p>
    <w:p w:rsidR="00000000" w:rsidDel="00000000" w:rsidP="00000000" w:rsidRDefault="00000000" w:rsidRPr="00000000" w14:paraId="00000139">
      <w:pPr>
        <w:spacing w:after="120" w:before="60" w:lineRule="auto"/>
        <w:jc w:val="both"/>
        <w:rPr/>
      </w:pPr>
      <w:r w:rsidDel="00000000" w:rsidR="00000000" w:rsidRPr="00000000">
        <w:rPr>
          <w:rtl w:val="0"/>
        </w:rPr>
        <w:t xml:space="preserve">A substituição dos dados sintéticos por dados reais da API da Google Search Console ou do serviço de dados do Google Trends aumentaria significativamente o poder preditivo dos search leads. Estima-se que, com dados reais, os search signals passariam de 1,9% para 15—25% de importância total no modelo, tornando o sistema genuinamente preditivo e não apenas descritivo.</w:t>
      </w:r>
    </w:p>
    <w:p w:rsidR="00000000" w:rsidDel="00000000" w:rsidP="00000000" w:rsidRDefault="00000000" w:rsidRPr="00000000" w14:paraId="0000013A">
      <w:pPr>
        <w:pStyle w:val="Heading3"/>
        <w:spacing w:after="80" w:before="160" w:lineRule="auto"/>
        <w:rPr>
          <w:color w:val="374151"/>
        </w:rPr>
      </w:pPr>
      <w:r w:rsidDel="00000000" w:rsidR="00000000" w:rsidRPr="00000000">
        <w:rPr>
          <w:color w:val="374151"/>
          <w:rtl w:val="0"/>
        </w:rPr>
        <w:t xml:space="preserve">2. Evolução para Arquitetura Data Lakehouse</w:t>
      </w:r>
    </w:p>
    <w:p w:rsidR="00000000" w:rsidDel="00000000" w:rsidP="00000000" w:rsidRDefault="00000000" w:rsidRPr="00000000" w14:paraId="0000013B">
      <w:pPr>
        <w:spacing w:after="120" w:before="60" w:lineRule="auto"/>
        <w:jc w:val="both"/>
        <w:rPr/>
      </w:pPr>
      <w:r w:rsidDel="00000000" w:rsidR="00000000" w:rsidRPr="00000000">
        <w:rPr>
          <w:rtl w:val="0"/>
        </w:rPr>
        <w:t xml:space="preserve">A evolução para uma arquitetura de Data Lake com camadas Bronze, Silver e Gold permitiria suportar volumes de dados de maior dimensão e integrar fontes adicionais — dados de redes sociais, comportamento de navegação no website, dados de inventário em tempo real — sem reestruturação do pipeline. Esta evolução faria sentido quando o volume de dados transacionais superasse os 10 milhões de registos e a frequência de ingestão exigisse processamento em tempo real com Apache Kafka ou Apache Spark.</w:t>
      </w:r>
    </w:p>
    <w:p w:rsidR="00000000" w:rsidDel="00000000" w:rsidP="00000000" w:rsidRDefault="00000000" w:rsidRPr="00000000" w14:paraId="0000013C">
      <w:pPr>
        <w:pStyle w:val="Heading3"/>
        <w:spacing w:after="80" w:before="160" w:lineRule="auto"/>
        <w:rPr>
          <w:color w:val="374151"/>
        </w:rPr>
      </w:pPr>
      <w:r w:rsidDel="00000000" w:rsidR="00000000" w:rsidRPr="00000000">
        <w:rPr>
          <w:color w:val="374151"/>
          <w:rtl w:val="0"/>
        </w:rPr>
        <w:t xml:space="preserve">3. Modelos de Séries Temporais Especializados</w:t>
      </w:r>
    </w:p>
    <w:p w:rsidR="00000000" w:rsidDel="00000000" w:rsidP="00000000" w:rsidRDefault="00000000" w:rsidRPr="00000000" w14:paraId="0000013D">
      <w:pPr>
        <w:spacing w:after="120" w:before="60" w:lineRule="auto"/>
        <w:jc w:val="both"/>
        <w:rPr/>
      </w:pPr>
      <w:r w:rsidDel="00000000" w:rsidR="00000000" w:rsidRPr="00000000">
        <w:rPr>
          <w:rtl w:val="0"/>
        </w:rPr>
        <w:t xml:space="preserve">A implementação de modelos como o Prophet (Facebook) ou LSTM (Long Short-Term Memory) em complemento ao XGBoost permitiria explorar explicitamente a estrutura temporal dos dados e potencialmente melhorar a acuidade das previsões para horizontes mais longos (3—6 meses). O Prophet é especialmente adequado para séries com sazonalidade múltipla e efeitos de eventos especiais, enquanto o LSTM captura dependências de longo prazo que os modelos baseados em árvores não conseguem modelar diretamente.</w:t>
      </w:r>
    </w:p>
    <w:p w:rsidR="00000000" w:rsidDel="00000000" w:rsidP="00000000" w:rsidRDefault="00000000" w:rsidRPr="00000000" w14:paraId="0000013E">
      <w:pPr>
        <w:rPr/>
      </w:pP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1"/>
        <w:pBdr>
          <w:bottom w:color="2e75b6" w:space="1" w:sz="6" w:val="single"/>
        </w:pBdr>
        <w:spacing w:after="180" w:lineRule="auto"/>
        <w:rPr>
          <w:color w:val="1f3864"/>
        </w:rPr>
      </w:pPr>
      <w:r w:rsidDel="00000000" w:rsidR="00000000" w:rsidRPr="00000000">
        <w:rPr>
          <w:color w:val="1f3864"/>
          <w:rtl w:val="0"/>
        </w:rPr>
        <w:t xml:space="preserve">Referências Bibliográficas</w:t>
      </w:r>
    </w:p>
    <w:p w:rsidR="00000000" w:rsidDel="00000000" w:rsidP="00000000" w:rsidRDefault="00000000" w:rsidRPr="00000000" w14:paraId="00000140">
      <w:pPr>
        <w:spacing w:after="120" w:before="60" w:lineRule="auto"/>
        <w:jc w:val="both"/>
        <w:rPr/>
      </w:pPr>
      <w:r w:rsidDel="00000000" w:rsidR="00000000" w:rsidRPr="00000000">
        <w:rPr>
          <w:rtl w:val="0"/>
        </w:rPr>
      </w:r>
    </w:p>
    <w:p w:rsidR="00000000" w:rsidDel="00000000" w:rsidP="00000000" w:rsidRDefault="00000000" w:rsidRPr="00000000" w14:paraId="00000141">
      <w:pPr>
        <w:spacing w:after="120" w:before="60" w:lineRule="auto"/>
        <w:jc w:val="both"/>
        <w:rPr/>
      </w:pPr>
      <w:r w:rsidDel="00000000" w:rsidR="00000000" w:rsidRPr="00000000">
        <w:rPr>
          <w:rtl w:val="0"/>
        </w:rPr>
        <w:t xml:space="preserve">Chen, T., &amp; Guestrin, C. (2016). XGBoost: A scalable tree boosting system. In Proceedings of the 22nd ACM SIGKDD International Conference on Knowledge Discovery and Data Mining (pp. 785—794). ACM. https://doi.org/10.1145/2939672.2939785</w:t>
      </w:r>
    </w:p>
    <w:p w:rsidR="00000000" w:rsidDel="00000000" w:rsidP="00000000" w:rsidRDefault="00000000" w:rsidRPr="00000000" w14:paraId="00000142">
      <w:pPr>
        <w:spacing w:after="60" w:before="60" w:lineRule="auto"/>
        <w:rPr/>
      </w:pPr>
      <w:r w:rsidDel="00000000" w:rsidR="00000000" w:rsidRPr="00000000">
        <w:rPr>
          <w:rtl w:val="0"/>
        </w:rPr>
      </w:r>
    </w:p>
    <w:p w:rsidR="00000000" w:rsidDel="00000000" w:rsidP="00000000" w:rsidRDefault="00000000" w:rsidRPr="00000000" w14:paraId="00000143">
      <w:pPr>
        <w:spacing w:after="120" w:before="60" w:lineRule="auto"/>
        <w:jc w:val="both"/>
        <w:rPr/>
      </w:pPr>
      <w:r w:rsidDel="00000000" w:rsidR="00000000" w:rsidRPr="00000000">
        <w:rPr>
          <w:rtl w:val="0"/>
        </w:rPr>
        <w:t xml:space="preserve">Inmon, W. H. (2002). Building the Data Warehouse (4th ed.). John Wiley &amp; Sons.</w:t>
      </w:r>
    </w:p>
    <w:p w:rsidR="00000000" w:rsidDel="00000000" w:rsidP="00000000" w:rsidRDefault="00000000" w:rsidRPr="00000000" w14:paraId="00000144">
      <w:pPr>
        <w:spacing w:after="60" w:before="60" w:lineRule="auto"/>
        <w:rPr/>
      </w:pPr>
      <w:r w:rsidDel="00000000" w:rsidR="00000000" w:rsidRPr="00000000">
        <w:rPr>
          <w:rtl w:val="0"/>
        </w:rPr>
      </w:r>
    </w:p>
    <w:p w:rsidR="00000000" w:rsidDel="00000000" w:rsidP="00000000" w:rsidRDefault="00000000" w:rsidRPr="00000000" w14:paraId="00000145">
      <w:pPr>
        <w:spacing w:after="120" w:before="60" w:lineRule="auto"/>
        <w:jc w:val="both"/>
        <w:rPr/>
      </w:pPr>
      <w:r w:rsidDel="00000000" w:rsidR="00000000" w:rsidRPr="00000000">
        <w:rPr>
          <w:rtl w:val="0"/>
        </w:rPr>
        <w:t xml:space="preserve">Kimball, R., &amp; Ross, M. (2013). The Data Warehouse Toolkit: The Definitive Guide to Dimensional Modeling (3rd ed.). John Wiley &amp; Sons.</w:t>
      </w:r>
    </w:p>
    <w:p w:rsidR="00000000" w:rsidDel="00000000" w:rsidP="00000000" w:rsidRDefault="00000000" w:rsidRPr="00000000" w14:paraId="00000146">
      <w:pPr>
        <w:spacing w:after="60" w:before="60" w:lineRule="auto"/>
        <w:rPr/>
      </w:pPr>
      <w:r w:rsidDel="00000000" w:rsidR="00000000" w:rsidRPr="00000000">
        <w:rPr>
          <w:rtl w:val="0"/>
        </w:rPr>
      </w:r>
    </w:p>
    <w:p w:rsidR="00000000" w:rsidDel="00000000" w:rsidP="00000000" w:rsidRDefault="00000000" w:rsidRPr="00000000" w14:paraId="00000147">
      <w:pPr>
        <w:spacing w:after="120" w:before="60" w:lineRule="auto"/>
        <w:jc w:val="both"/>
        <w:rPr/>
      </w:pPr>
      <w:r w:rsidDel="00000000" w:rsidR="00000000" w:rsidRPr="00000000">
        <w:rPr>
          <w:rtl w:val="0"/>
        </w:rPr>
        <w:t xml:space="preserve">Olist. (2018). Brazilian E-Commerce Public Dataset by Olist. Kaggle. https://www.kaggle.com/datasets/olistbr/brazilian-ecommerce</w:t>
      </w:r>
    </w:p>
    <w:p w:rsidR="00000000" w:rsidDel="00000000" w:rsidP="00000000" w:rsidRDefault="00000000" w:rsidRPr="00000000" w14:paraId="00000148">
      <w:pPr>
        <w:spacing w:after="60" w:before="60" w:lineRule="auto"/>
        <w:rPr/>
      </w:pPr>
      <w:r w:rsidDel="00000000" w:rsidR="00000000" w:rsidRPr="00000000">
        <w:rPr>
          <w:rtl w:val="0"/>
        </w:rPr>
      </w:r>
    </w:p>
    <w:p w:rsidR="00000000" w:rsidDel="00000000" w:rsidP="00000000" w:rsidRDefault="00000000" w:rsidRPr="00000000" w14:paraId="00000149">
      <w:pPr>
        <w:spacing w:after="120" w:before="60" w:lineRule="auto"/>
        <w:jc w:val="both"/>
        <w:rPr/>
      </w:pPr>
      <w:r w:rsidDel="00000000" w:rsidR="00000000" w:rsidRPr="00000000">
        <w:rPr>
          <w:rtl w:val="0"/>
        </w:rPr>
        <w:t xml:space="preserve">Pedregosa, F., Varoquaux, G., Gramfort, A., Michel, V., Thirion, B., Grisel, O., ... &amp; Duchesnay, E. (2011). Scikit-learn: Machine learning in Python. Journal of Machine Learning Research, 12, 2825—2830.</w:t>
      </w:r>
    </w:p>
    <w:p w:rsidR="00000000" w:rsidDel="00000000" w:rsidP="00000000" w:rsidRDefault="00000000" w:rsidRPr="00000000" w14:paraId="0000014A">
      <w:pPr>
        <w:spacing w:after="60" w:before="60" w:lineRule="auto"/>
        <w:rPr/>
      </w:pPr>
      <w:r w:rsidDel="00000000" w:rsidR="00000000" w:rsidRPr="00000000">
        <w:rPr>
          <w:rtl w:val="0"/>
        </w:rPr>
      </w:r>
    </w:p>
    <w:p w:rsidR="00000000" w:rsidDel="00000000" w:rsidP="00000000" w:rsidRDefault="00000000" w:rsidRPr="00000000" w14:paraId="0000014B">
      <w:pPr>
        <w:spacing w:after="120" w:before="60" w:lineRule="auto"/>
        <w:jc w:val="both"/>
        <w:rPr/>
      </w:pPr>
      <w:r w:rsidDel="00000000" w:rsidR="00000000" w:rsidRPr="00000000">
        <w:rPr>
          <w:rtl w:val="0"/>
        </w:rPr>
        <w:t xml:space="preserve">PostgreSQL Global Development Group. (2024). PostgreSQL 16 Documentation. https://www.postgresql.org/docs/16/</w:t>
      </w:r>
    </w:p>
    <w:p w:rsidR="00000000" w:rsidDel="00000000" w:rsidP="00000000" w:rsidRDefault="00000000" w:rsidRPr="00000000" w14:paraId="0000014C">
      <w:pPr>
        <w:spacing w:after="60" w:before="60" w:lineRule="auto"/>
        <w:rPr/>
      </w:pPr>
      <w:r w:rsidDel="00000000" w:rsidR="00000000" w:rsidRPr="00000000">
        <w:rPr>
          <w:rtl w:val="0"/>
        </w:rPr>
      </w:r>
    </w:p>
    <w:p w:rsidR="00000000" w:rsidDel="00000000" w:rsidP="00000000" w:rsidRDefault="00000000" w:rsidRPr="00000000" w14:paraId="0000014D">
      <w:pPr>
        <w:spacing w:after="120" w:before="60" w:lineRule="auto"/>
        <w:jc w:val="both"/>
        <w:rPr/>
      </w:pPr>
      <w:r w:rsidDel="00000000" w:rsidR="00000000" w:rsidRPr="00000000">
        <w:rPr>
          <w:rtl w:val="0"/>
        </w:rPr>
        <w:t xml:space="preserve">Hyndman, R. J., &amp; Athanasopoulos, G. (2021). Forecasting: Principles and Practice (3rd ed.). OTexts. https://otexts.com/fpp3/</w:t>
      </w:r>
    </w:p>
    <w:p w:rsidR="00000000" w:rsidDel="00000000" w:rsidP="00000000" w:rsidRDefault="00000000" w:rsidRPr="00000000" w14:paraId="0000014E">
      <w:pPr>
        <w:spacing w:after="60" w:before="60" w:lineRule="auto"/>
        <w:rPr/>
      </w:pPr>
      <w:r w:rsidDel="00000000" w:rsidR="00000000" w:rsidRPr="00000000">
        <w:rPr>
          <w:rtl w:val="0"/>
        </w:rPr>
      </w:r>
    </w:p>
    <w:p w:rsidR="00000000" w:rsidDel="00000000" w:rsidP="00000000" w:rsidRDefault="00000000" w:rsidRPr="00000000" w14:paraId="0000014F">
      <w:pPr>
        <w:spacing w:after="120" w:before="60" w:lineRule="auto"/>
        <w:jc w:val="both"/>
        <w:rPr/>
      </w:pPr>
      <w:r w:rsidDel="00000000" w:rsidR="00000000" w:rsidRPr="00000000">
        <w:rPr>
          <w:rtl w:val="0"/>
        </w:rPr>
        <w:t xml:space="preserve">Bergstra, J., &amp; Bengio, Y. (2012). Random search for hyper-parameter optimization. Journal of Machine Learning Research, 13(1), 281—305.</w:t>
      </w:r>
    </w:p>
    <w:p w:rsidR="00000000" w:rsidDel="00000000" w:rsidP="00000000" w:rsidRDefault="00000000" w:rsidRPr="00000000" w14:paraId="00000150">
      <w:pPr>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pBdr>
          <w:bottom w:color="2e75b6" w:space="1" w:sz="6" w:val="single"/>
        </w:pBdr>
        <w:spacing w:after="180" w:lineRule="auto"/>
        <w:rPr>
          <w:color w:val="1f3864"/>
        </w:rPr>
      </w:pPr>
      <w:r w:rsidDel="00000000" w:rsidR="00000000" w:rsidRPr="00000000">
        <w:rPr>
          <w:color w:val="1f3864"/>
          <w:rtl w:val="0"/>
        </w:rPr>
        <w:t xml:space="preserve">Lista de Siglas e Acrónimos</w:t>
      </w:r>
    </w:p>
    <w:p w:rsidR="00000000" w:rsidDel="00000000" w:rsidP="00000000" w:rsidRDefault="00000000" w:rsidRPr="00000000" w14:paraId="00000152">
      <w:pPr>
        <w:spacing w:after="60" w:before="6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b w:val="1"/>
                <w:bCs w:val="1"/>
                <w:color w:val="ffffff"/>
                <w:sz w:val="20"/>
                <w:szCs w:val="20"/>
                <w:rtl w:val="0"/>
              </w:rPr>
              <w:t xml:space="preserve">Sigla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b w:val="1"/>
                <w:bCs w:val="1"/>
                <w:color w:val="ffffff"/>
                <w:sz w:val="20"/>
                <w:szCs w:val="20"/>
                <w:rtl w:val="0"/>
              </w:rPr>
              <w:t xml:space="preserve">Descrição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sz w:val="20"/>
                <w:szCs w:val="20"/>
                <w:rtl w:val="0"/>
              </w:rPr>
              <w:t xml:space="preserve">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sz w:val="20"/>
                <w:szCs w:val="20"/>
                <w:rtl w:val="0"/>
              </w:rPr>
              <w:t xml:space="preserve">Base de Dados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sz w:val="20"/>
                <w:szCs w:val="20"/>
                <w:rtl w:val="0"/>
              </w:rPr>
              <w:t xml:space="preserve">CDC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sz w:val="20"/>
                <w:szCs w:val="20"/>
                <w:rtl w:val="0"/>
              </w:rPr>
              <w:t xml:space="preserve">Change Data Capture — mecanismo de captura de alterações em tempo real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sz w:val="20"/>
                <w:szCs w:val="20"/>
                <w:rtl w:val="0"/>
              </w:rPr>
              <w:t xml:space="preserve">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sz w:val="20"/>
                <w:szCs w:val="20"/>
                <w:rtl w:val="0"/>
              </w:rPr>
              <w:t xml:space="preserve">Comma-Separated Values — formato de ficheiro tabular de 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sz w:val="20"/>
                <w:szCs w:val="20"/>
                <w:rtl w:val="0"/>
              </w:rPr>
              <w:t xml:space="preserve">DW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sz w:val="20"/>
                <w:szCs w:val="20"/>
                <w:rtl w:val="0"/>
              </w:rPr>
              <w:t xml:space="preserve">Data Warehouse — armazém de dados analítico orientado à decisão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sz w:val="20"/>
                <w:szCs w:val="20"/>
                <w:rtl w:val="0"/>
              </w:rPr>
              <w:t xml:space="preserve">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sz w:val="20"/>
                <w:szCs w:val="20"/>
                <w:rtl w:val="0"/>
              </w:rPr>
              <w:t xml:space="preserve">Extract, Transform, Load — processo de integração de dados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sz w:val="20"/>
                <w:szCs w:val="20"/>
                <w:rtl w:val="0"/>
              </w:rPr>
              <w:t xml:space="preserve">FAROL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sz w:val="20"/>
                <w:szCs w:val="20"/>
                <w:rtl w:val="0"/>
              </w:rPr>
              <w:t xml:space="preserve">Score de alerta preditivo do sistema TrendMart (0—100%)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sz w:val="20"/>
                <w:szCs w:val="20"/>
                <w:rtl w:val="0"/>
              </w:rPr>
              <w:t xml:space="preserve">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sz w:val="20"/>
                <w:szCs w:val="20"/>
                <w:rtl w:val="0"/>
              </w:rPr>
              <w:t xml:space="preserve">JavaScript Object Notation — formato semi-estruturado de troca de dados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sz w:val="20"/>
                <w:szCs w:val="20"/>
                <w:rtl w:val="0"/>
              </w:rPr>
              <w:t xml:space="preserve">MAE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sz w:val="20"/>
                <w:szCs w:val="20"/>
                <w:rtl w:val="0"/>
              </w:rPr>
              <w:t xml:space="preserve">Mean Absolute Error — Erro Absoluto Médio do modelo preditivo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sz w:val="20"/>
                <w:szCs w:val="20"/>
                <w:rtl w:val="0"/>
              </w:rPr>
              <w:t xml:space="preserve">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sz w:val="20"/>
                <w:szCs w:val="20"/>
                <w:rtl w:val="0"/>
              </w:rPr>
              <w:t xml:space="preserve">Machine Learning — Aprendizagem Máquina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sz w:val="20"/>
                <w:szCs w:val="20"/>
                <w:rtl w:val="0"/>
              </w:rPr>
              <w:t xml:space="preserve">PL/pgSQL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sz w:val="20"/>
                <w:szCs w:val="20"/>
                <w:rtl w:val="0"/>
              </w:rPr>
              <w:t xml:space="preserve">Procedural Language / PostgreSQL — linguagem procedimental do PostgreSQL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sz w:val="20"/>
                <w:szCs w:val="20"/>
                <w:rtl w:val="0"/>
              </w:rPr>
              <w:t xml:space="preserve">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sz w:val="20"/>
                <w:szCs w:val="20"/>
                <w:rtl w:val="0"/>
              </w:rPr>
              <w:t xml:space="preserve">Portable Network Graphics — formato de imagem sem perdas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sz w:val="20"/>
                <w:szCs w:val="20"/>
                <w:rtl w:val="0"/>
              </w:rPr>
              <w:t xml:space="preserve">R²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sz w:val="20"/>
                <w:szCs w:val="20"/>
                <w:rtl w:val="0"/>
              </w:rPr>
              <w:t xml:space="preserve">Coeficiente de Determinação — métrica de avaliação de modelos de regressão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sz w:val="20"/>
                <w:szCs w:val="20"/>
                <w:rtl w:val="0"/>
              </w:rPr>
              <w:t xml:space="preserv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sz w:val="20"/>
                <w:szCs w:val="20"/>
                <w:rtl w:val="0"/>
              </w:rPr>
              <w:t xml:space="preserve">Structured Query Language — linguagem de consulta de bases de dados relacionais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sz w:val="20"/>
                <w:szCs w:val="20"/>
                <w:rtl w:val="0"/>
              </w:rPr>
              <w:t xml:space="preserve">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sz w:val="20"/>
                <w:szCs w:val="20"/>
                <w:rtl w:val="0"/>
              </w:rPr>
              <w:t xml:space="preserve">Extreme Gradient Boosting — algoritmo de aprendizagem máquina baseado em árvores</w:t>
            </w:r>
            <w:r w:rsidDel="00000000" w:rsidR="00000000" w:rsidRPr="00000000">
              <w:rPr>
                <w:rtl w:val="0"/>
              </w:rPr>
            </w:r>
          </w:p>
        </w:tc>
      </w:tr>
    </w:tbl>
    <w:p w:rsidR="00000000" w:rsidDel="00000000" w:rsidP="00000000" w:rsidRDefault="00000000" w:rsidRPr="00000000" w14:paraId="00000171">
      <w:pPr>
        <w:rPr/>
      </w:pP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1"/>
        <w:pBdr>
          <w:bottom w:color="2e75b6" w:space="1" w:sz="6" w:val="single"/>
        </w:pBdr>
        <w:spacing w:after="180" w:lineRule="auto"/>
        <w:rPr>
          <w:color w:val="1f3864"/>
        </w:rPr>
      </w:pPr>
      <w:r w:rsidDel="00000000" w:rsidR="00000000" w:rsidRPr="00000000">
        <w:rPr>
          <w:color w:val="1f3864"/>
          <w:rtl w:val="0"/>
        </w:rPr>
        <w:t xml:space="preserve">Anexos</w:t>
      </w:r>
    </w:p>
    <w:p w:rsidR="00000000" w:rsidDel="00000000" w:rsidP="00000000" w:rsidRDefault="00000000" w:rsidRPr="00000000" w14:paraId="00000173">
      <w:pPr>
        <w:pStyle w:val="Heading2"/>
        <w:spacing w:after="120" w:before="240" w:lineRule="auto"/>
        <w:rPr>
          <w:color w:val="2e75b6"/>
          <w:sz w:val="26"/>
          <w:szCs w:val="26"/>
        </w:rPr>
      </w:pPr>
      <w:r w:rsidDel="00000000" w:rsidR="00000000" w:rsidRPr="00000000">
        <w:rPr>
          <w:color w:val="2e75b6"/>
          <w:sz w:val="26"/>
          <w:szCs w:val="26"/>
          <w:rtl w:val="0"/>
        </w:rPr>
        <w:t xml:space="preserve">Anexo I — Resultados Completos do Modelo TrendMart FAROL</w:t>
      </w:r>
    </w:p>
    <w:p w:rsidR="00000000" w:rsidDel="00000000" w:rsidP="00000000" w:rsidRDefault="00000000" w:rsidRPr="00000000" w14:paraId="00000174">
      <w:pPr>
        <w:spacing w:after="60" w:before="60" w:lineRule="auto"/>
        <w:rPr/>
      </w:pPr>
      <w:r w:rsidDel="00000000" w:rsidR="00000000" w:rsidRPr="00000000">
        <w:rPr>
          <w:rtl w:val="0"/>
        </w:rPr>
      </w:r>
    </w:p>
    <w:tbl>
      <w:tblPr>
        <w:tblStyle w:val="Table10"/>
        <w:tblW w:w="86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600"/>
        <w:gridCol w:w="3026"/>
        <w:tblGridChange w:id="0">
          <w:tblGrid>
            <w:gridCol w:w="2400"/>
            <w:gridCol w:w="1600"/>
            <w:gridCol w:w="1600"/>
            <w:gridCol w:w="3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5">
            <w:pPr>
              <w:jc w:val="center"/>
              <w:rPr/>
            </w:pPr>
            <w:r w:rsidDel="00000000" w:rsidR="00000000" w:rsidRPr="00000000">
              <w:rPr>
                <w:b w:val="1"/>
                <w:bCs w:val="1"/>
                <w:color w:val="ffffff"/>
                <w:sz w:val="20"/>
                <w:szCs w:val="20"/>
                <w:rtl w:val="0"/>
              </w:rPr>
              <w:t xml:space="preserve">Categoria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6">
            <w:pPr>
              <w:jc w:val="center"/>
              <w:rPr/>
            </w:pPr>
            <w:r w:rsidDel="00000000" w:rsidR="00000000" w:rsidRPr="00000000">
              <w:rPr>
                <w:b w:val="1"/>
                <w:bCs w:val="1"/>
                <w:color w:val="ffffff"/>
                <w:sz w:val="20"/>
                <w:szCs w:val="20"/>
                <w:rtl w:val="0"/>
              </w:rPr>
              <w:t xml:space="preserve">Crescimento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7">
            <w:pPr>
              <w:jc w:val="center"/>
              <w:rPr/>
            </w:pPr>
            <w:r w:rsidDel="00000000" w:rsidR="00000000" w:rsidRPr="00000000">
              <w:rPr>
                <w:b w:val="1"/>
                <w:bCs w:val="1"/>
                <w:color w:val="ffffff"/>
                <w:sz w:val="20"/>
                <w:szCs w:val="20"/>
                <w:rtl w:val="0"/>
              </w:rPr>
              <w:t xml:space="preserve">Aceleração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8">
            <w:pPr>
              <w:jc w:val="center"/>
              <w:rPr/>
            </w:pPr>
            <w:r w:rsidDel="00000000" w:rsidR="00000000" w:rsidRPr="00000000">
              <w:rPr>
                <w:b w:val="1"/>
                <w:bCs w:val="1"/>
                <w:color w:val="ffffff"/>
                <w:sz w:val="20"/>
                <w:szCs w:val="20"/>
                <w:rtl w:val="0"/>
              </w:rPr>
              <w:t xml:space="preserve">Alerta FAROL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179">
            <w:pPr>
              <w:jc w:val="center"/>
              <w:rPr/>
            </w:pPr>
            <w:r w:rsidDel="00000000" w:rsidR="00000000" w:rsidRPr="00000000">
              <w:rPr>
                <w:sz w:val="20"/>
                <w:szCs w:val="20"/>
                <w:rtl w:val="0"/>
              </w:rPr>
              <w:t xml:space="preserve">moveis_escritorio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17A">
            <w:pPr>
              <w:jc w:val="center"/>
              <w:rPr/>
            </w:pPr>
            <w:r w:rsidDel="00000000" w:rsidR="00000000" w:rsidRPr="00000000">
              <w:rPr>
                <w:sz w:val="20"/>
                <w:szCs w:val="20"/>
                <w:rtl w:val="0"/>
              </w:rPr>
              <w:t xml:space="preserve">+0,0702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17B">
            <w:pPr>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17C">
            <w:pPr>
              <w:jc w:val="center"/>
              <w:rPr/>
            </w:pPr>
            <w:r w:rsidDel="00000000" w:rsidR="00000000" w:rsidRPr="00000000">
              <w:rPr>
                <w:sz w:val="20"/>
                <w:szCs w:val="20"/>
                <w:rtl w:val="0"/>
              </w:rPr>
              <w:t xml:space="preserve">Top Crescimento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jc w:val="center"/>
              <w:rPr/>
            </w:pPr>
            <w:r w:rsidDel="00000000" w:rsidR="00000000" w:rsidRPr="00000000">
              <w:rPr>
                <w:sz w:val="20"/>
                <w:szCs w:val="20"/>
                <w:rtl w:val="0"/>
              </w:rPr>
              <w:t xml:space="preserve">sinalizacao_e_seguranca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jc w:val="center"/>
              <w:rPr/>
            </w:pPr>
            <w:r w:rsidDel="00000000" w:rsidR="00000000" w:rsidRPr="00000000">
              <w:rPr>
                <w:sz w:val="20"/>
                <w:szCs w:val="20"/>
                <w:rtl w:val="0"/>
              </w:rPr>
              <w:t xml:space="preserve">+0,0587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jc w:val="center"/>
              <w:rPr/>
            </w:pPr>
            <w:r w:rsidDel="00000000" w:rsidR="00000000" w:rsidRPr="00000000">
              <w:rPr>
                <w:sz w:val="20"/>
                <w:szCs w:val="20"/>
                <w:rtl w:val="0"/>
              </w:rPr>
              <w:t xml:space="preserve">+0,0029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jc w:val="center"/>
              <w:rPr/>
            </w:pPr>
            <w:r w:rsidDel="00000000" w:rsidR="00000000" w:rsidRPr="00000000">
              <w:rPr>
                <w:sz w:val="20"/>
                <w:szCs w:val="20"/>
                <w:rtl w:val="0"/>
              </w:rPr>
              <w:t xml:space="preserve">Top Crescimento #2 / Aceleração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181">
            <w:pPr>
              <w:jc w:val="center"/>
              <w:rPr/>
            </w:pPr>
            <w:r w:rsidDel="00000000" w:rsidR="00000000" w:rsidRPr="00000000">
              <w:rPr>
                <w:sz w:val="20"/>
                <w:szCs w:val="20"/>
                <w:rtl w:val="0"/>
              </w:rPr>
              <w:t xml:space="preserve">bebidas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182">
            <w:pPr>
              <w:jc w:val="center"/>
              <w:rPr/>
            </w:pPr>
            <w:r w:rsidDel="00000000" w:rsidR="00000000" w:rsidRPr="00000000">
              <w:rPr>
                <w:sz w:val="20"/>
                <w:szCs w:val="20"/>
                <w:rtl w:val="0"/>
              </w:rPr>
              <w:t xml:space="preserve">+0,0539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183">
            <w:pPr>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184">
            <w:pPr>
              <w:jc w:val="center"/>
              <w:rPr/>
            </w:pPr>
            <w:r w:rsidDel="00000000" w:rsidR="00000000" w:rsidRPr="00000000">
              <w:rPr>
                <w:sz w:val="20"/>
                <w:szCs w:val="20"/>
                <w:rtl w:val="0"/>
              </w:rPr>
              <w:t xml:space="preserve">Top Crescimento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jc w:val="center"/>
              <w:rPr/>
            </w:pPr>
            <w:r w:rsidDel="00000000" w:rsidR="00000000" w:rsidRPr="00000000">
              <w:rPr>
                <w:sz w:val="20"/>
                <w:szCs w:val="20"/>
                <w:rtl w:val="0"/>
              </w:rPr>
              <w:t xml:space="preserve">pcs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jc w:val="center"/>
              <w:rPr/>
            </w:pPr>
            <w:r w:rsidDel="00000000" w:rsidR="00000000" w:rsidRPr="00000000">
              <w:rPr>
                <w:sz w:val="20"/>
                <w:szCs w:val="20"/>
                <w:rtl w:val="0"/>
              </w:rPr>
              <w:t xml:space="preserve">+0,0534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jc w:val="center"/>
              <w:rPr/>
            </w:pPr>
            <w:r w:rsidDel="00000000" w:rsidR="00000000" w:rsidRPr="00000000">
              <w:rPr>
                <w:sz w:val="20"/>
                <w:szCs w:val="20"/>
                <w:rtl w:val="0"/>
              </w:rPr>
              <w:t xml:space="preserve">Top Crescimento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189">
            <w:pPr>
              <w:jc w:val="center"/>
              <w:rPr/>
            </w:pPr>
            <w:r w:rsidDel="00000000" w:rsidR="00000000" w:rsidRPr="00000000">
              <w:rPr>
                <w:sz w:val="20"/>
                <w:szCs w:val="20"/>
                <w:rtl w:val="0"/>
              </w:rPr>
              <w:t xml:space="preserve">moveis_sala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18A">
            <w:pPr>
              <w:jc w:val="center"/>
              <w:rPr/>
            </w:pPr>
            <w:r w:rsidDel="00000000" w:rsidR="00000000" w:rsidRPr="00000000">
              <w:rPr>
                <w:sz w:val="20"/>
                <w:szCs w:val="20"/>
                <w:rtl w:val="0"/>
              </w:rPr>
              <w:t xml:space="preserve">+0,0520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18B">
            <w:pPr>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18C">
            <w:pPr>
              <w:jc w:val="center"/>
              <w:rPr/>
            </w:pPr>
            <w:r w:rsidDel="00000000" w:rsidR="00000000" w:rsidRPr="00000000">
              <w:rPr>
                <w:sz w:val="20"/>
                <w:szCs w:val="20"/>
                <w:rtl w:val="0"/>
              </w:rPr>
              <w:t xml:space="preserve">Top Crescimento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jc w:val="center"/>
              <w:rPr/>
            </w:pPr>
            <w:r w:rsidDel="00000000" w:rsidR="00000000" w:rsidRPr="00000000">
              <w:rPr>
                <w:sz w:val="20"/>
                <w:szCs w:val="20"/>
                <w:rtl w:val="0"/>
              </w:rPr>
              <w:t xml:space="preserve">la_cuisine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jc w:val="center"/>
              <w:rPr/>
            </w:pPr>
            <w:r w:rsidDel="00000000" w:rsidR="00000000" w:rsidRPr="00000000">
              <w:rPr>
                <w:sz w:val="20"/>
                <w:szCs w:val="20"/>
                <w:rtl w:val="0"/>
              </w:rPr>
              <w:t xml:space="preserve">+0,0256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90">
            <w:pPr>
              <w:jc w:val="center"/>
              <w:rPr/>
            </w:pPr>
            <w:r w:rsidDel="00000000" w:rsidR="00000000" w:rsidRPr="00000000">
              <w:rPr>
                <w:b w:val="1"/>
                <w:bCs w:val="1"/>
                <w:sz w:val="20"/>
                <w:szCs w:val="20"/>
                <w:rtl w:val="0"/>
              </w:rPr>
              <w:t xml:space="preserve">⚠ ALERTA 86,6% — Tendência Emergente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191">
            <w:pPr>
              <w:jc w:val="center"/>
              <w:rPr/>
            </w:pPr>
            <w:r w:rsidDel="00000000" w:rsidR="00000000" w:rsidRPr="00000000">
              <w:rPr>
                <w:sz w:val="20"/>
                <w:szCs w:val="20"/>
                <w:rtl w:val="0"/>
              </w:rPr>
              <w:t xml:space="preserve">alimentos_bebidas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192">
            <w:pPr>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193">
            <w:pPr>
              <w:jc w:val="center"/>
              <w:rPr/>
            </w:pPr>
            <w:r w:rsidDel="00000000" w:rsidR="00000000" w:rsidRPr="00000000">
              <w:rPr>
                <w:sz w:val="20"/>
                <w:szCs w:val="20"/>
                <w:rtl w:val="0"/>
              </w:rPr>
              <w:t xml:space="preserve">+0,0058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194">
            <w:pPr>
              <w:jc w:val="center"/>
              <w:rPr/>
            </w:pPr>
            <w:r w:rsidDel="00000000" w:rsidR="00000000" w:rsidRPr="00000000">
              <w:rPr>
                <w:sz w:val="20"/>
                <w:szCs w:val="20"/>
                <w:rtl w:val="0"/>
              </w:rPr>
              <w:t xml:space="preserve">Top Aceleração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jc w:val="center"/>
              <w:rPr/>
            </w:pPr>
            <w:r w:rsidDel="00000000" w:rsidR="00000000" w:rsidRPr="00000000">
              <w:rPr>
                <w:sz w:val="20"/>
                <w:szCs w:val="20"/>
                <w:rtl w:val="0"/>
              </w:rPr>
              <w:t xml:space="preserve">cine_foto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jc w:val="center"/>
              <w:rPr/>
            </w:pPr>
            <w:r w:rsidDel="00000000" w:rsidR="00000000" w:rsidRPr="00000000">
              <w:rPr>
                <w:sz w:val="20"/>
                <w:szCs w:val="20"/>
                <w:rtl w:val="0"/>
              </w:rPr>
              <w:t xml:space="preserve">+0,0042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jc w:val="center"/>
              <w:rPr/>
            </w:pPr>
            <w:r w:rsidDel="00000000" w:rsidR="00000000" w:rsidRPr="00000000">
              <w:rPr>
                <w:sz w:val="20"/>
                <w:szCs w:val="20"/>
                <w:rtl w:val="0"/>
              </w:rPr>
              <w:t xml:space="preserve">Top Aceleração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199">
            <w:pPr>
              <w:jc w:val="center"/>
              <w:rPr/>
            </w:pPr>
            <w:r w:rsidDel="00000000" w:rsidR="00000000" w:rsidRPr="00000000">
              <w:rPr>
                <w:sz w:val="20"/>
                <w:szCs w:val="20"/>
                <w:rtl w:val="0"/>
              </w:rPr>
              <w:t xml:space="preserve">construcao_ferramentas_jardim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19A">
            <w:pPr>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19B">
            <w:pPr>
              <w:jc w:val="center"/>
              <w:rPr/>
            </w:pPr>
            <w:r w:rsidDel="00000000" w:rsidR="00000000" w:rsidRPr="00000000">
              <w:rPr>
                <w:sz w:val="20"/>
                <w:szCs w:val="20"/>
                <w:rtl w:val="0"/>
              </w:rPr>
              <w:t xml:space="preserve">+0,0022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20.0" w:type="dxa"/>
              <w:bottom w:w="80.0" w:type="dxa"/>
              <w:right w:w="120.0" w:type="dxa"/>
            </w:tcMar>
          </w:tcPr>
          <w:p w:rsidR="00000000" w:rsidDel="00000000" w:rsidP="00000000" w:rsidRDefault="00000000" w:rsidRPr="00000000" w14:paraId="0000019C">
            <w:pPr>
              <w:jc w:val="center"/>
              <w:rPr/>
            </w:pPr>
            <w:r w:rsidDel="00000000" w:rsidR="00000000" w:rsidRPr="00000000">
              <w:rPr>
                <w:sz w:val="20"/>
                <w:szCs w:val="20"/>
                <w:rtl w:val="0"/>
              </w:rPr>
              <w:t xml:space="preserve">Top Aceleração #5</w:t>
            </w:r>
            <w:r w:rsidDel="00000000" w:rsidR="00000000" w:rsidRPr="00000000">
              <w:rPr>
                <w:rtl w:val="0"/>
              </w:rPr>
            </w:r>
          </w:p>
        </w:tc>
      </w:tr>
    </w:tbl>
    <w:p w:rsidR="00000000" w:rsidDel="00000000" w:rsidP="00000000" w:rsidRDefault="00000000" w:rsidRPr="00000000" w14:paraId="0000019D">
      <w:pPr>
        <w:spacing w:after="60" w:before="60" w:lineRule="auto"/>
        <w:rPr/>
      </w:pPr>
      <w:r w:rsidDel="00000000" w:rsidR="00000000" w:rsidRPr="00000000">
        <w:rPr>
          <w:rtl w:val="0"/>
        </w:rPr>
      </w:r>
    </w:p>
    <w:p w:rsidR="00000000" w:rsidDel="00000000" w:rsidP="00000000" w:rsidRDefault="00000000" w:rsidRPr="00000000" w14:paraId="0000019E">
      <w:pPr>
        <w:pStyle w:val="Heading2"/>
        <w:spacing w:after="120" w:before="240" w:lineRule="auto"/>
        <w:rPr>
          <w:color w:val="2e75b6"/>
          <w:sz w:val="26"/>
          <w:szCs w:val="26"/>
        </w:rPr>
      </w:pPr>
      <w:r w:rsidDel="00000000" w:rsidR="00000000" w:rsidRPr="00000000">
        <w:rPr>
          <w:color w:val="2e75b6"/>
          <w:sz w:val="26"/>
          <w:szCs w:val="26"/>
          <w:rtl w:val="0"/>
        </w:rPr>
        <w:t xml:space="preserve">Anexo II — Ordem de Execução do Pipeline</w:t>
      </w:r>
    </w:p>
    <w:p w:rsidR="00000000" w:rsidDel="00000000" w:rsidP="00000000" w:rsidRDefault="00000000" w:rsidRPr="00000000" w14:paraId="0000019F">
      <w:pPr>
        <w:spacing w:after="120" w:before="60" w:lineRule="auto"/>
        <w:jc w:val="both"/>
        <w:rPr/>
      </w:pPr>
      <w:r w:rsidDel="00000000" w:rsidR="00000000" w:rsidRPr="00000000">
        <w:rPr>
          <w:rtl w:val="0"/>
        </w:rPr>
        <w:t xml:space="preserve">Para reproduzir integralmente os resultados do sistema TrendMart 2026, os scripts devem ser executados pela seguinte ordem:</w:t>
      </w:r>
    </w:p>
    <w:p w:rsidR="00000000" w:rsidDel="00000000" w:rsidP="00000000" w:rsidRDefault="00000000" w:rsidRPr="00000000" w14:paraId="000001A0">
      <w:pPr>
        <w:numPr>
          <w:ilvl w:val="0"/>
          <w:numId w:val="2"/>
        </w:numPr>
        <w:spacing w:after="40" w:before="40" w:lineRule="auto"/>
        <w:ind w:left="720" w:hanging="360"/>
        <w:jc w:val="both"/>
      </w:pPr>
      <w:r w:rsidDel="00000000" w:rsidR="00000000" w:rsidRPr="00000000">
        <w:rPr>
          <w:rtl w:val="0"/>
        </w:rPr>
        <w:t xml:space="preserve">gerar_reviews.py — gera o ficheiro reviews_sinteticas.json com perfis de sentimento realistas por categoria (73 categorias × 616 datas = ~18.500 registos)</w:t>
      </w:r>
    </w:p>
    <w:p w:rsidR="00000000" w:rsidDel="00000000" w:rsidP="00000000" w:rsidRDefault="00000000" w:rsidRPr="00000000" w14:paraId="000001A1">
      <w:pPr>
        <w:numPr>
          <w:ilvl w:val="0"/>
          <w:numId w:val="2"/>
        </w:numPr>
        <w:spacing w:after="40" w:before="40" w:lineRule="auto"/>
        <w:ind w:left="720" w:hanging="360"/>
        <w:jc w:val="both"/>
      </w:pPr>
      <w:r w:rsidDel="00000000" w:rsidR="00000000" w:rsidRPr="00000000">
        <w:rPr>
          <w:rtl w:val="0"/>
        </w:rPr>
        <w:t xml:space="preserve">gerar_trends.py — gera o ficheiro google_trends_sintetico.csv com padrões sazonais, curvas de crescimento acelerado e lead antecipado de 3 períodos por categoria</w:t>
      </w:r>
    </w:p>
    <w:p w:rsidR="00000000" w:rsidDel="00000000" w:rsidP="00000000" w:rsidRDefault="00000000" w:rsidRPr="00000000" w14:paraId="000001A2">
      <w:pPr>
        <w:numPr>
          <w:ilvl w:val="0"/>
          <w:numId w:val="2"/>
        </w:numPr>
        <w:spacing w:after="40" w:before="40" w:lineRule="auto"/>
        <w:ind w:left="720" w:hanging="360"/>
        <w:jc w:val="both"/>
      </w:pPr>
      <w:r w:rsidDel="00000000" w:rsidR="00000000" w:rsidRPr="00000000">
        <w:rPr>
          <w:rtl w:val="0"/>
        </w:rPr>
        <w:t xml:space="preserve">pipeline_completa.py — executa os cinco passos sequenciais: Staging, ETL, CDC, IA FAROL e geração do dashboard</w:t>
      </w:r>
    </w:p>
    <w:p w:rsidR="00000000" w:rsidDel="00000000" w:rsidP="00000000" w:rsidRDefault="00000000" w:rsidRPr="00000000" w14:paraId="000001A3">
      <w:pPr>
        <w:spacing w:after="60" w:before="60" w:lineRule="auto"/>
        <w:rPr/>
      </w:pPr>
      <w:r w:rsidDel="00000000" w:rsidR="00000000" w:rsidRPr="00000000">
        <w:rPr>
          <w:rtl w:val="0"/>
        </w:rPr>
      </w:r>
    </w:p>
    <w:p w:rsidR="00000000" w:rsidDel="00000000" w:rsidP="00000000" w:rsidRDefault="00000000" w:rsidRPr="00000000" w14:paraId="000001A4">
      <w:pPr>
        <w:spacing w:after="120" w:before="60" w:lineRule="auto"/>
        <w:jc w:val="both"/>
        <w:rPr/>
      </w:pPr>
      <w:r w:rsidDel="00000000" w:rsidR="00000000" w:rsidRPr="00000000">
        <w:rPr>
          <w:rtl w:val="0"/>
        </w:rPr>
        <w:t xml:space="preserve">O tempo total de execução é inferior a dois minutos. O output esperado inclui o ficheiro tendencias_2026.png com o dashboard de seis gráficos e a confirmação no terminal da conclusão bem-sucedida de cada passo.</w:t>
      </w:r>
    </w:p>
    <w:p w:rsidR="00000000" w:rsidDel="00000000" w:rsidP="00000000" w:rsidRDefault="00000000" w:rsidRPr="00000000" w14:paraId="000001A5">
      <w:pPr>
        <w:spacing w:after="60" w:before="60" w:lineRule="auto"/>
        <w:rPr/>
      </w:pPr>
      <w:r w:rsidDel="00000000" w:rsidR="00000000" w:rsidRPr="00000000">
        <w:rPr>
          <w:rtl w:val="0"/>
        </w:rPr>
      </w:r>
    </w:p>
    <w:p w:rsidR="00000000" w:rsidDel="00000000" w:rsidP="00000000" w:rsidRDefault="00000000" w:rsidRPr="00000000" w14:paraId="000001A6">
      <w:pPr>
        <w:pStyle w:val="Heading2"/>
        <w:spacing w:after="120" w:before="240" w:lineRule="auto"/>
        <w:rPr>
          <w:color w:val="2e75b6"/>
          <w:sz w:val="26"/>
          <w:szCs w:val="26"/>
        </w:rPr>
      </w:pPr>
      <w:r w:rsidDel="00000000" w:rsidR="00000000" w:rsidRPr="00000000">
        <w:rPr>
          <w:color w:val="2e75b6"/>
          <w:sz w:val="26"/>
          <w:szCs w:val="26"/>
          <w:rtl w:val="0"/>
        </w:rPr>
        <w:t xml:space="preserve">Anexo III — Verificações de Validação do DW no pgAdmin</w:t>
      </w:r>
    </w:p>
    <w:p w:rsidR="00000000" w:rsidDel="00000000" w:rsidP="00000000" w:rsidRDefault="00000000" w:rsidRPr="00000000" w14:paraId="000001A7">
      <w:pPr>
        <w:spacing w:after="120" w:before="60" w:lineRule="auto"/>
        <w:jc w:val="both"/>
        <w:rPr/>
      </w:pPr>
      <w:r w:rsidDel="00000000" w:rsidR="00000000" w:rsidRPr="00000000">
        <w:rPr>
          <w:rtl w:val="0"/>
        </w:rPr>
        <w:t xml:space="preserve">As três queries SQL seguintes permitem verificar a correta execução da pipeline no pgAdmin:</w:t>
      </w:r>
    </w:p>
    <w:p w:rsidR="00000000" w:rsidDel="00000000" w:rsidP="00000000" w:rsidRDefault="00000000" w:rsidRPr="00000000" w14:paraId="000001A8">
      <w:pPr>
        <w:spacing w:after="60" w:before="60" w:lineRule="auto"/>
        <w:rPr/>
      </w:pPr>
      <w:r w:rsidDel="00000000" w:rsidR="00000000" w:rsidRPr="00000000">
        <w:rPr>
          <w:rtl w:val="0"/>
        </w:rPr>
      </w:r>
    </w:p>
    <w:p w:rsidR="00000000" w:rsidDel="00000000" w:rsidP="00000000" w:rsidRDefault="00000000" w:rsidRPr="00000000" w14:paraId="000001A9">
      <w:pPr>
        <w:spacing w:after="60" w:before="60" w:lineRule="auto"/>
        <w:rPr/>
      </w:pPr>
      <w:r w:rsidDel="00000000" w:rsidR="00000000" w:rsidRPr="00000000">
        <w:rPr>
          <w:rFonts w:ascii="Courier New" w:cs="Courier New" w:eastAsia="Courier New" w:hAnsi="Courier New"/>
          <w:color w:val="1a5a38"/>
          <w:sz w:val="20"/>
          <w:szCs w:val="20"/>
          <w:rtl w:val="0"/>
        </w:rPr>
        <w:t xml:space="preserve">-- Verificação 1: Volume do Star Schema</w:t>
      </w:r>
      <w:r w:rsidDel="00000000" w:rsidR="00000000" w:rsidRPr="00000000">
        <w:rPr>
          <w:rtl w:val="0"/>
        </w:rPr>
      </w:r>
    </w:p>
    <w:p w:rsidR="00000000" w:rsidDel="00000000" w:rsidP="00000000" w:rsidRDefault="00000000" w:rsidRPr="00000000" w14:paraId="000001AA">
      <w:pPr>
        <w:spacing w:after="60" w:lineRule="auto"/>
        <w:rPr/>
      </w:pPr>
      <w:r w:rsidDel="00000000" w:rsidR="00000000" w:rsidRPr="00000000">
        <w:rPr>
          <w:rFonts w:ascii="Courier New" w:cs="Courier New" w:eastAsia="Courier New" w:hAnsi="Courier New"/>
          <w:sz w:val="18"/>
          <w:szCs w:val="18"/>
          <w:rtl w:val="0"/>
        </w:rPr>
        <w:t xml:space="preserve">SELECT 'fact_sales' AS tabela, COUNT(*) FROM fact_sales</w:t>
      </w:r>
      <w:r w:rsidDel="00000000" w:rsidR="00000000" w:rsidRPr="00000000">
        <w:rPr>
          <w:rtl w:val="0"/>
        </w:rPr>
      </w:r>
    </w:p>
    <w:p w:rsidR="00000000" w:rsidDel="00000000" w:rsidP="00000000" w:rsidRDefault="00000000" w:rsidRPr="00000000" w14:paraId="000001AB">
      <w:pPr>
        <w:spacing w:after="60" w:lineRule="auto"/>
        <w:rPr/>
      </w:pPr>
      <w:r w:rsidDel="00000000" w:rsidR="00000000" w:rsidRPr="00000000">
        <w:rPr>
          <w:rFonts w:ascii="Courier New" w:cs="Courier New" w:eastAsia="Courier New" w:hAnsi="Courier New"/>
          <w:sz w:val="18"/>
          <w:szCs w:val="18"/>
          <w:rtl w:val="0"/>
        </w:rPr>
        <w:t xml:space="preserve">UNION ALL SELECT 'dim_trend', COUNT(*) FROM dim_trend</w:t>
      </w:r>
      <w:r w:rsidDel="00000000" w:rsidR="00000000" w:rsidRPr="00000000">
        <w:rPr>
          <w:rtl w:val="0"/>
        </w:rPr>
      </w:r>
    </w:p>
    <w:p w:rsidR="00000000" w:rsidDel="00000000" w:rsidP="00000000" w:rsidRDefault="00000000" w:rsidRPr="00000000" w14:paraId="000001AC">
      <w:pPr>
        <w:spacing w:after="60" w:lineRule="auto"/>
        <w:rPr/>
      </w:pPr>
      <w:r w:rsidDel="00000000" w:rsidR="00000000" w:rsidRPr="00000000">
        <w:rPr>
          <w:rFonts w:ascii="Courier New" w:cs="Courier New" w:eastAsia="Courier New" w:hAnsi="Courier New"/>
          <w:sz w:val="18"/>
          <w:szCs w:val="18"/>
          <w:rtl w:val="0"/>
        </w:rPr>
        <w:t xml:space="preserve">UNION ALL SELECT 'dim_review', COUNT(*) FROM dim_review;</w:t>
      </w:r>
      <w:r w:rsidDel="00000000" w:rsidR="00000000" w:rsidRPr="00000000">
        <w:rPr>
          <w:rtl w:val="0"/>
        </w:rPr>
      </w:r>
    </w:p>
    <w:p w:rsidR="00000000" w:rsidDel="00000000" w:rsidP="00000000" w:rsidRDefault="00000000" w:rsidRPr="00000000" w14:paraId="000001AD">
      <w:pPr>
        <w:spacing w:after="60" w:before="60" w:lineRule="auto"/>
        <w:rPr/>
      </w:pPr>
      <w:r w:rsidDel="00000000" w:rsidR="00000000" w:rsidRPr="00000000">
        <w:rPr>
          <w:rtl w:val="0"/>
        </w:rPr>
      </w:r>
    </w:p>
    <w:p w:rsidR="00000000" w:rsidDel="00000000" w:rsidP="00000000" w:rsidRDefault="00000000" w:rsidRPr="00000000" w14:paraId="000001AE">
      <w:pPr>
        <w:spacing w:after="60" w:before="60" w:lineRule="auto"/>
        <w:rPr/>
      </w:pPr>
      <w:r w:rsidDel="00000000" w:rsidR="00000000" w:rsidRPr="00000000">
        <w:rPr>
          <w:rFonts w:ascii="Courier New" w:cs="Courier New" w:eastAsia="Courier New" w:hAnsi="Courier New"/>
          <w:color w:val="1a5a38"/>
          <w:sz w:val="20"/>
          <w:szCs w:val="20"/>
          <w:rtl w:val="0"/>
        </w:rPr>
        <w:t xml:space="preserve">-- Verificação 2: CDC activo</w:t>
      </w:r>
      <w:r w:rsidDel="00000000" w:rsidR="00000000" w:rsidRPr="00000000">
        <w:rPr>
          <w:rtl w:val="0"/>
        </w:rPr>
      </w:r>
    </w:p>
    <w:p w:rsidR="00000000" w:rsidDel="00000000" w:rsidP="00000000" w:rsidRDefault="00000000" w:rsidRPr="00000000" w14:paraId="000001AF">
      <w:pPr>
        <w:spacing w:after="60" w:lineRule="auto"/>
        <w:rPr/>
      </w:pPr>
      <w:r w:rsidDel="00000000" w:rsidR="00000000" w:rsidRPr="00000000">
        <w:rPr>
          <w:rFonts w:ascii="Courier New" w:cs="Courier New" w:eastAsia="Courier New" w:hAnsi="Courier New"/>
          <w:sz w:val="18"/>
          <w:szCs w:val="18"/>
          <w:rtl w:val="0"/>
        </w:rPr>
        <w:t xml:space="preserve">SELECT * FROM vw_cdc_monitor;</w:t>
      </w:r>
      <w:r w:rsidDel="00000000" w:rsidR="00000000" w:rsidRPr="00000000">
        <w:rPr>
          <w:rtl w:val="0"/>
        </w:rPr>
      </w:r>
    </w:p>
    <w:p w:rsidR="00000000" w:rsidDel="00000000" w:rsidP="00000000" w:rsidRDefault="00000000" w:rsidRPr="00000000" w14:paraId="000001B0">
      <w:pPr>
        <w:spacing w:after="60" w:before="60" w:lineRule="auto"/>
        <w:rPr/>
      </w:pPr>
      <w:r w:rsidDel="00000000" w:rsidR="00000000" w:rsidRPr="00000000">
        <w:rPr>
          <w:rtl w:val="0"/>
        </w:rPr>
      </w:r>
    </w:p>
    <w:p w:rsidR="00000000" w:rsidDel="00000000" w:rsidP="00000000" w:rsidRDefault="00000000" w:rsidRPr="00000000" w14:paraId="000001B1">
      <w:pPr>
        <w:spacing w:after="60" w:before="60" w:lineRule="auto"/>
        <w:rPr/>
      </w:pPr>
      <w:r w:rsidDel="00000000" w:rsidR="00000000" w:rsidRPr="00000000">
        <w:rPr>
          <w:rFonts w:ascii="Courier New" w:cs="Courier New" w:eastAsia="Courier New" w:hAnsi="Courier New"/>
          <w:color w:val="1a5a38"/>
          <w:sz w:val="20"/>
          <w:szCs w:val="20"/>
          <w:rtl w:val="0"/>
        </w:rPr>
        <w:t xml:space="preserve">-- Verificação 3: Query de arquitectura heterogénea completa</w:t>
      </w:r>
      <w:r w:rsidDel="00000000" w:rsidR="00000000" w:rsidRPr="00000000">
        <w:rPr>
          <w:rtl w:val="0"/>
        </w:rPr>
      </w:r>
    </w:p>
    <w:p w:rsidR="00000000" w:rsidDel="00000000" w:rsidP="00000000" w:rsidRDefault="00000000" w:rsidRPr="00000000" w14:paraId="000001B2">
      <w:pPr>
        <w:spacing w:after="20" w:lineRule="auto"/>
        <w:rPr/>
      </w:pPr>
      <w:r w:rsidDel="00000000" w:rsidR="00000000" w:rsidRPr="00000000">
        <w:rPr>
          <w:rFonts w:ascii="Courier New" w:cs="Courier New" w:eastAsia="Courier New" w:hAnsi="Courier New"/>
          <w:sz w:val="18"/>
          <w:szCs w:val="18"/>
          <w:rtl w:val="0"/>
        </w:rPr>
        <w:t xml:space="preserve">SELECT dp.product_category_name, AVG(tr.search_volume) AS avg_search,</w:t>
      </w:r>
      <w:r w:rsidDel="00000000" w:rsidR="00000000" w:rsidRPr="00000000">
        <w:rPr>
          <w:rtl w:val="0"/>
        </w:rPr>
      </w:r>
    </w:p>
    <w:p w:rsidR="00000000" w:rsidDel="00000000" w:rsidP="00000000" w:rsidRDefault="00000000" w:rsidRPr="00000000" w14:paraId="000001B3">
      <w:pPr>
        <w:spacing w:after="20" w:lineRule="auto"/>
        <w:rPr/>
      </w:pPr>
      <w:r w:rsidDel="00000000" w:rsidR="00000000" w:rsidRPr="00000000">
        <w:rPr>
          <w:rFonts w:ascii="Courier New" w:cs="Courier New" w:eastAsia="Courier New" w:hAnsi="Courier New"/>
          <w:sz w:val="18"/>
          <w:szCs w:val="18"/>
          <w:rtl w:val="0"/>
        </w:rPr>
        <w:t xml:space="preserve">       AVG(rv.sentiment_score) AS avg_sentiment, COUNT(fs.sales_sk) AS total_vendas</w:t>
      </w:r>
      <w:r w:rsidDel="00000000" w:rsidR="00000000" w:rsidRPr="00000000">
        <w:rPr>
          <w:rtl w:val="0"/>
        </w:rPr>
      </w:r>
    </w:p>
    <w:p w:rsidR="00000000" w:rsidDel="00000000" w:rsidP="00000000" w:rsidRDefault="00000000" w:rsidRPr="00000000" w14:paraId="000001B4">
      <w:pPr>
        <w:spacing w:after="20" w:lineRule="auto"/>
        <w:rPr/>
      </w:pPr>
      <w:r w:rsidDel="00000000" w:rsidR="00000000" w:rsidRPr="00000000">
        <w:rPr>
          <w:rFonts w:ascii="Courier New" w:cs="Courier New" w:eastAsia="Courier New" w:hAnsi="Courier New"/>
          <w:sz w:val="18"/>
          <w:szCs w:val="18"/>
          <w:rtl w:val="0"/>
        </w:rPr>
        <w:t xml:space="preserve">FROM fact_sales fs JOIN dim_product dp ON dp.product_sk = fs.product_sk</w:t>
      </w:r>
      <w:r w:rsidDel="00000000" w:rsidR="00000000" w:rsidRPr="00000000">
        <w:rPr>
          <w:rtl w:val="0"/>
        </w:rPr>
      </w:r>
    </w:p>
    <w:p w:rsidR="00000000" w:rsidDel="00000000" w:rsidP="00000000" w:rsidRDefault="00000000" w:rsidRPr="00000000" w14:paraId="000001B5">
      <w:pPr>
        <w:spacing w:after="20" w:lineRule="auto"/>
        <w:rPr/>
      </w:pPr>
      <w:r w:rsidDel="00000000" w:rsidR="00000000" w:rsidRPr="00000000">
        <w:rPr>
          <w:rFonts w:ascii="Courier New" w:cs="Courier New" w:eastAsia="Courier New" w:hAnsi="Courier New"/>
          <w:sz w:val="18"/>
          <w:szCs w:val="18"/>
          <w:rtl w:val="0"/>
        </w:rPr>
        <w:t xml:space="preserve">JOIN dim_trend tr ON tr.time_sk = fs.time_sk AND tr.product_category_name = dp.product_category_name</w:t>
      </w:r>
      <w:r w:rsidDel="00000000" w:rsidR="00000000" w:rsidRPr="00000000">
        <w:rPr>
          <w:rtl w:val="0"/>
        </w:rPr>
      </w:r>
    </w:p>
    <w:p w:rsidR="00000000" w:rsidDel="00000000" w:rsidP="00000000" w:rsidRDefault="00000000" w:rsidRPr="00000000" w14:paraId="000001B6">
      <w:pPr>
        <w:spacing w:after="20" w:lineRule="auto"/>
        <w:rPr/>
      </w:pPr>
      <w:r w:rsidDel="00000000" w:rsidR="00000000" w:rsidRPr="00000000">
        <w:rPr>
          <w:rFonts w:ascii="Courier New" w:cs="Courier New" w:eastAsia="Courier New" w:hAnsi="Courier New"/>
          <w:sz w:val="18"/>
          <w:szCs w:val="18"/>
          <w:rtl w:val="0"/>
        </w:rPr>
        <w:t xml:space="preserve">JOIN dim_review rv ON rv.time_sk = fs.time_sk AND rv.product_category_name = dp.product_category_name</w:t>
      </w:r>
      <w:r w:rsidDel="00000000" w:rsidR="00000000" w:rsidRPr="00000000">
        <w:rPr>
          <w:rtl w:val="0"/>
        </w:rPr>
      </w:r>
    </w:p>
    <w:p w:rsidR="00000000" w:rsidDel="00000000" w:rsidP="00000000" w:rsidRDefault="00000000" w:rsidRPr="00000000" w14:paraId="000001B7">
      <w:pPr>
        <w:spacing w:after="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 dp.product_category_name ORDER BY total_vendas DESC LIMIT 10;</w:t>
      </w:r>
    </w:p>
    <w:p w:rsidR="00000000" w:rsidDel="00000000" w:rsidP="00000000" w:rsidRDefault="00000000" w:rsidRPr="00000000" w14:paraId="000001B8">
      <w:pPr>
        <w:spacing w:after="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B9">
      <w:pPr>
        <w:spacing w:after="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BA">
      <w:pPr>
        <w:spacing w:after="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B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BC">
      <w:pPr>
        <w:spacing w:after="100" w:before="100" w:line="276" w:lineRule="auto"/>
        <w:jc w:val="both"/>
        <w:rPr/>
      </w:pPr>
      <w:r w:rsidDel="00000000" w:rsidR="00000000" w:rsidRPr="00000000">
        <w:rPr>
          <w:rtl w:val="0"/>
        </w:rPr>
      </w:r>
    </w:p>
    <w:sectPr>
      <w:headerReference r:id="rId8" w:type="default"/>
      <w:footerReference r:id="rId9" w:type="default"/>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pBdr>
        <w:top w:color="2e4057" w:space="1" w:sz="4" w:val="single"/>
      </w:pBdr>
      <w:rPr/>
    </w:pPr>
    <w:r w:rsidDel="00000000" w:rsidR="00000000" w:rsidRPr="00000000">
      <w:rPr>
        <w:rFonts w:ascii="Arial" w:cs="Arial" w:eastAsia="Arial" w:hAnsi="Arial"/>
        <w:color w:val="888888"/>
        <w:sz w:val="18"/>
        <w:szCs w:val="18"/>
        <w:rtl w:val="0"/>
      </w:rPr>
      <w:t xml:space="preserve">Licenciatura em Ciência de Dados — CDGE 2025/2026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pBdr>
        <w:bottom w:color="2e4057" w:space="1" w:sz="4" w:val="single"/>
      </w:pBdr>
      <w:rPr/>
    </w:pPr>
    <w:r w:rsidDel="00000000" w:rsidR="00000000" w:rsidRPr="00000000">
      <w:rPr>
        <w:rFonts w:ascii="Arial" w:cs="Arial" w:eastAsia="Arial" w:hAnsi="Arial"/>
        <w:color w:val="888888"/>
        <w:sz w:val="18"/>
        <w:szCs w:val="18"/>
        <w:rtl w:val="0"/>
      </w:rPr>
      <w:t xml:space="preserve">TrendMart 2026 — Sistema de Análise de Tendências de Retalho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4057"/>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6b4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405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L8hpH14thcynwJOHuHx1VR3fH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4AHIhMS1TZ196cTI0ZURBRF9WZFgwMHFETndNWFJISXRRTD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