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D489" w14:textId="77777777" w:rsidR="00C21A57" w:rsidRDefault="00000000">
      <w:pPr>
        <w:spacing w:before="1440" w:after="120"/>
        <w:jc w:val="center"/>
      </w:pPr>
      <w:proofErr w:type="spellStart"/>
      <w:r>
        <w:rPr>
          <w:rFonts w:eastAsia="Arial"/>
          <w:b/>
          <w:bCs/>
          <w:color w:val="1F3864"/>
          <w:sz w:val="64"/>
          <w:szCs w:val="64"/>
        </w:rPr>
        <w:t>InvestorDNA</w:t>
      </w:r>
      <w:proofErr w:type="spellEnd"/>
    </w:p>
    <w:p w14:paraId="5B5D774A" w14:textId="77777777" w:rsidR="00C21A57" w:rsidRDefault="00000000">
      <w:pPr>
        <w:spacing w:after="80"/>
        <w:jc w:val="center"/>
      </w:pPr>
      <w:r>
        <w:rPr>
          <w:rFonts w:eastAsia="Arial"/>
          <w:i/>
          <w:iCs/>
          <w:color w:val="2E75B6"/>
          <w:sz w:val="28"/>
          <w:szCs w:val="28"/>
        </w:rPr>
        <w:t>Behavioral Persona-to-Factor Translation System</w:t>
      </w:r>
    </w:p>
    <w:p w14:paraId="2BB644D3" w14:textId="77777777" w:rsidR="00C21A57" w:rsidRDefault="00C21A57"/>
    <w:tbl>
      <w:tblPr>
        <w:tblpPr w:horzAnchor="page" w:tblpX="1440"/>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tblGrid>
      <w:tr w:rsidR="00C21A57" w14:paraId="73BF4458" w14:textId="77777777">
        <w:tblPrEx>
          <w:tblCellMar>
            <w:top w:w="0" w:type="dxa"/>
            <w:bottom w:w="0" w:type="dxa"/>
          </w:tblCellMar>
        </w:tblPrEx>
        <w:tc>
          <w:tcPr>
            <w:tcW w:w="576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0A7B1E8F" w14:textId="77777777" w:rsidR="00C21A57" w:rsidRDefault="00000000">
            <w:pPr>
              <w:jc w:val="center"/>
            </w:pPr>
            <w:r>
              <w:rPr>
                <w:rFonts w:eastAsia="Arial"/>
                <w:color w:val="1F3864"/>
              </w:rPr>
              <w:t>AI Finance Capstone Project</w:t>
            </w:r>
          </w:p>
          <w:p w14:paraId="30500780" w14:textId="77777777" w:rsidR="00C21A57" w:rsidRDefault="00000000">
            <w:pPr>
              <w:jc w:val="center"/>
            </w:pPr>
            <w:proofErr w:type="spellStart"/>
            <w:r>
              <w:rPr>
                <w:rFonts w:eastAsia="Arial"/>
                <w:color w:val="444444"/>
              </w:rPr>
              <w:t>Sogang</w:t>
            </w:r>
            <w:proofErr w:type="spellEnd"/>
            <w:r>
              <w:rPr>
                <w:rFonts w:eastAsia="Arial"/>
                <w:color w:val="444444"/>
              </w:rPr>
              <w:t xml:space="preserve"> </w:t>
            </w:r>
            <w:proofErr w:type="gramStart"/>
            <w:r>
              <w:rPr>
                <w:rFonts w:eastAsia="Arial"/>
                <w:color w:val="444444"/>
              </w:rPr>
              <w:t>University  |</w:t>
            </w:r>
            <w:proofErr w:type="gramEnd"/>
            <w:r>
              <w:rPr>
                <w:rFonts w:eastAsia="Arial"/>
                <w:color w:val="444444"/>
              </w:rPr>
              <w:t xml:space="preserve">  Spring 2026</w:t>
            </w:r>
          </w:p>
          <w:p w14:paraId="093C9225" w14:textId="77777777" w:rsidR="00C21A57" w:rsidRDefault="00000000">
            <w:pPr>
              <w:jc w:val="center"/>
            </w:pPr>
            <w:r>
              <w:rPr>
                <w:rFonts w:eastAsia="Arial"/>
                <w:color w:val="444444"/>
              </w:rPr>
              <w:t xml:space="preserve">Prof. Chae-Shick </w:t>
            </w:r>
            <w:proofErr w:type="gramStart"/>
            <w:r>
              <w:rPr>
                <w:rFonts w:eastAsia="Arial"/>
                <w:color w:val="444444"/>
              </w:rPr>
              <w:t>Chung  |</w:t>
            </w:r>
            <w:proofErr w:type="gramEnd"/>
            <w:r>
              <w:rPr>
                <w:rFonts w:eastAsia="Arial"/>
                <w:color w:val="444444"/>
              </w:rPr>
              <w:t xml:space="preserve">  ECO3023-01</w:t>
            </w:r>
          </w:p>
        </w:tc>
      </w:tr>
    </w:tbl>
    <w:p w14:paraId="0BADD8EF" w14:textId="77777777" w:rsidR="00C21A57" w:rsidRDefault="00C21A57"/>
    <w:p w14:paraId="27681122" w14:textId="77777777" w:rsidR="00C21A57" w:rsidRDefault="00000000">
      <w:r>
        <w:br w:type="page"/>
      </w:r>
    </w:p>
    <w:p w14:paraId="5E6603B1" w14:textId="77777777" w:rsidR="00C21A57" w:rsidRDefault="00000000">
      <w:pPr>
        <w:pStyle w:val="1"/>
        <w:pBdr>
          <w:bottom w:val="single" w:sz="6" w:space="4" w:color="2E75B6"/>
        </w:pBdr>
      </w:pPr>
      <w:r>
        <w:lastRenderedPageBreak/>
        <w:t>1. Project Overview</w:t>
      </w:r>
    </w:p>
    <w:p w14:paraId="0AA87BF0" w14:textId="77777777" w:rsidR="00C21A57" w:rsidRDefault="00000000">
      <w:pPr>
        <w:spacing w:before="60" w:after="60"/>
      </w:pPr>
      <w:proofErr w:type="spellStart"/>
      <w:r>
        <w:rPr>
          <w:rFonts w:eastAsia="Arial"/>
          <w:color w:val="222222"/>
        </w:rPr>
        <w:t>InvestorDNA</w:t>
      </w:r>
      <w:proofErr w:type="spellEnd"/>
      <w:r>
        <w:rPr>
          <w:rFonts w:eastAsia="Arial"/>
          <w:color w:val="222222"/>
        </w:rPr>
        <w:t xml:space="preserve"> is a persona-to-factor translation system that bridges behavioral investor archetypes with quantitative portfolio analysis. The core goal is to answer one well-defined research question:</w:t>
      </w:r>
    </w:p>
    <w:p w14:paraId="7CA76978"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1A57" w14:paraId="5E4BBC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D862524" w14:textId="77777777" w:rsidR="00C21A57" w:rsidRDefault="00000000">
            <w:r>
              <w:rPr>
                <w:rFonts w:eastAsia="Arial"/>
                <w:i/>
                <w:iCs/>
                <w:color w:val="1A1A2E"/>
                <w:sz w:val="21"/>
                <w:szCs w:val="21"/>
              </w:rPr>
              <w:t>Do behavioral biases, extracted from observable trading behavior and investor text, predict investment performance — and do different bias profiles lead to systematically different outcomes across macro regimes?</w:t>
            </w:r>
          </w:p>
        </w:tc>
      </w:tr>
    </w:tbl>
    <w:p w14:paraId="1A85C694" w14:textId="77777777" w:rsidR="00C21A57" w:rsidRDefault="00C21A57"/>
    <w:p w14:paraId="191FD53D" w14:textId="77777777" w:rsidR="00C21A57" w:rsidRDefault="00000000">
      <w:pPr>
        <w:spacing w:before="60" w:after="60"/>
      </w:pPr>
      <w:r>
        <w:rPr>
          <w:rFonts w:eastAsia="Arial"/>
          <w:color w:val="222222"/>
        </w:rPr>
        <w:t>The project sits at the intersection of behavioral economics, NLP, and quantitative finance. It produces both a research contribution (bias profiles predict performance) and a user-facing application (personalized portfolio gap diagnosis).</w:t>
      </w:r>
    </w:p>
    <w:p w14:paraId="754444D9" w14:textId="77777777" w:rsidR="00C21A57" w:rsidRDefault="00C21A57"/>
    <w:p w14:paraId="571221CE" w14:textId="77777777" w:rsidR="00C21A57" w:rsidRDefault="00000000">
      <w:pPr>
        <w:pStyle w:val="2"/>
      </w:pPr>
      <w:proofErr w:type="gramStart"/>
      <w:r>
        <w:t>1.1  What</w:t>
      </w:r>
      <w:proofErr w:type="gramEnd"/>
      <w:r>
        <w:t xml:space="preserve"> Makes This Project Distinct</w:t>
      </w:r>
    </w:p>
    <w:p w14:paraId="6DA7C81B" w14:textId="77777777" w:rsidR="00C21A57" w:rsidRDefault="00000000">
      <w:pPr>
        <w:spacing w:before="60" w:after="60"/>
      </w:pPr>
      <w:r>
        <w:rPr>
          <w:rFonts w:eastAsia="Arial"/>
          <w:color w:val="222222"/>
        </w:rPr>
        <w:t xml:space="preserve">Most prior work either (a) builds static investor profiles from narrative labels, or (b) runs factor regressions without connecting them to behavioral theory. </w:t>
      </w:r>
      <w:proofErr w:type="spellStart"/>
      <w:r>
        <w:rPr>
          <w:rFonts w:eastAsia="Arial"/>
          <w:color w:val="222222"/>
        </w:rPr>
        <w:t>InvestorDNA</w:t>
      </w:r>
      <w:proofErr w:type="spellEnd"/>
      <w:r>
        <w:rPr>
          <w:rFonts w:eastAsia="Arial"/>
          <w:color w:val="222222"/>
        </w:rPr>
        <w:t xml:space="preserve"> does both simultaneously using the same axes — enabling direct, numerically meaningful comparison between any two investors, and between an investor and a user.</w:t>
      </w:r>
    </w:p>
    <w:p w14:paraId="58B49FB4" w14:textId="77777777" w:rsidR="00C21A57" w:rsidRDefault="00C21A57"/>
    <w:p w14:paraId="245FABD0" w14:textId="77777777" w:rsidR="00C21A57" w:rsidRDefault="00000000">
      <w:pPr>
        <w:spacing w:before="60" w:after="60"/>
      </w:pPr>
      <w:r>
        <w:rPr>
          <w:rFonts w:eastAsia="Arial"/>
          <w:color w:val="222222"/>
        </w:rPr>
        <w:t>The key design insight, guided by the professor, is a two-source validation strategy:</w:t>
      </w:r>
    </w:p>
    <w:p w14:paraId="054F01DD" w14:textId="77777777" w:rsidR="00C21A57" w:rsidRDefault="00000000">
      <w:pPr>
        <w:pStyle w:val="a4"/>
        <w:numPr>
          <w:ilvl w:val="0"/>
          <w:numId w:val="2"/>
        </w:numPr>
        <w:spacing w:before="40" w:after="40"/>
      </w:pPr>
      <w:r>
        <w:rPr>
          <w:rFonts w:eastAsia="Arial"/>
          <w:color w:val="222222"/>
        </w:rPr>
        <w:t>Stated preference: what investors say in letters, interviews, and speeches (text-derived sentiment scores)</w:t>
      </w:r>
    </w:p>
    <w:p w14:paraId="430730B6" w14:textId="77777777" w:rsidR="00C21A57" w:rsidRDefault="00000000">
      <w:pPr>
        <w:pStyle w:val="a4"/>
        <w:numPr>
          <w:ilvl w:val="0"/>
          <w:numId w:val="2"/>
        </w:numPr>
        <w:spacing w:before="40" w:after="40"/>
      </w:pPr>
      <w:r>
        <w:rPr>
          <w:rFonts w:eastAsia="Arial"/>
          <w:color w:val="222222"/>
        </w:rPr>
        <w:t xml:space="preserve">Revealed preference: what investors </w:t>
      </w:r>
      <w:proofErr w:type="gramStart"/>
      <w:r>
        <w:rPr>
          <w:rFonts w:eastAsia="Arial"/>
          <w:color w:val="222222"/>
        </w:rPr>
        <w:t>actually do</w:t>
      </w:r>
      <w:proofErr w:type="gramEnd"/>
      <w:r>
        <w:rPr>
          <w:rFonts w:eastAsia="Arial"/>
          <w:color w:val="222222"/>
        </w:rPr>
        <w:t xml:space="preserve"> in their portfolios over time (13F-derived behavioral signals)</w:t>
      </w:r>
    </w:p>
    <w:p w14:paraId="05E47D27" w14:textId="77777777" w:rsidR="00C21A57" w:rsidRDefault="00000000">
      <w:pPr>
        <w:pStyle w:val="a4"/>
        <w:numPr>
          <w:ilvl w:val="0"/>
          <w:numId w:val="2"/>
        </w:numPr>
        <w:spacing w:before="40" w:after="40"/>
      </w:pPr>
      <w:r>
        <w:rPr>
          <w:rFonts w:eastAsia="Arial"/>
          <w:color w:val="222222"/>
        </w:rPr>
        <w:t>The gap between these two is itself a finding — self-aware investors who behave consistently with their stated philosophy tend to outperform.</w:t>
      </w:r>
    </w:p>
    <w:p w14:paraId="29A1FC23" w14:textId="77777777" w:rsidR="00C21A57" w:rsidRDefault="00C21A57"/>
    <w:p w14:paraId="4652A2AE" w14:textId="77777777" w:rsidR="00C21A57" w:rsidRDefault="00000000">
      <w:pPr>
        <w:pStyle w:val="1"/>
        <w:pBdr>
          <w:bottom w:val="single" w:sz="6" w:space="4" w:color="2E75B6"/>
        </w:pBdr>
      </w:pPr>
      <w:r>
        <w:t>2. Conceptual Framework</w:t>
      </w:r>
    </w:p>
    <w:p w14:paraId="6B37D07D" w14:textId="77777777" w:rsidR="00C21A57" w:rsidRDefault="00000000">
      <w:pPr>
        <w:pStyle w:val="2"/>
      </w:pPr>
      <w:proofErr w:type="gramStart"/>
      <w:r>
        <w:t>2.1  Three</w:t>
      </w:r>
      <w:proofErr w:type="gramEnd"/>
      <w:r>
        <w:t>-Layer Architecture</w:t>
      </w:r>
    </w:p>
    <w:p w14:paraId="57463F19" w14:textId="77777777" w:rsidR="00C21A57" w:rsidRDefault="00000000">
      <w:pPr>
        <w:spacing w:before="60" w:after="60"/>
      </w:pPr>
      <w:r>
        <w:rPr>
          <w:rFonts w:eastAsia="Arial"/>
          <w:color w:val="222222"/>
        </w:rPr>
        <w:t>The professor outlined a clean three-layer structure in the April 1st meeting:</w:t>
      </w:r>
    </w:p>
    <w:p w14:paraId="3CEF8D4E"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21A57" w14:paraId="4FF79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0CC067" w14:textId="77777777" w:rsidR="00C21A57" w:rsidRDefault="00000000">
            <w:r>
              <w:rPr>
                <w:rFonts w:eastAsia="Arial"/>
                <w:b/>
                <w:bCs/>
                <w:color w:val="FFFFFF"/>
                <w:sz w:val="20"/>
                <w:szCs w:val="20"/>
              </w:rPr>
              <w:t>Layer</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3E0BCD" w14:textId="77777777" w:rsidR="00C21A57" w:rsidRDefault="00000000">
            <w:r>
              <w:rPr>
                <w:rFonts w:eastAsia="Arial"/>
                <w:b/>
                <w:bCs/>
                <w:color w:val="FFFFFF"/>
                <w:sz w:val="20"/>
                <w:szCs w:val="20"/>
              </w:rPr>
              <w:t>What It Does</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57B640" w14:textId="77777777" w:rsidR="00C21A57" w:rsidRDefault="00000000">
            <w:r>
              <w:rPr>
                <w:rFonts w:eastAsia="Arial"/>
                <w:b/>
                <w:bCs/>
                <w:color w:val="FFFFFF"/>
                <w:sz w:val="20"/>
                <w:szCs w:val="20"/>
              </w:rPr>
              <w:t>Output</w:t>
            </w:r>
          </w:p>
        </w:tc>
      </w:tr>
      <w:tr w:rsidR="00C21A57" w14:paraId="0E731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7A0C8" w14:textId="77777777" w:rsidR="00C21A57" w:rsidRDefault="00000000">
            <w:r>
              <w:rPr>
                <w:rFonts w:eastAsia="Arial"/>
                <w:color w:val="222222"/>
                <w:sz w:val="20"/>
                <w:szCs w:val="20"/>
              </w:rPr>
              <w:t>Layer 1: Persona Extraction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0621" w14:textId="77777777" w:rsidR="00C21A57" w:rsidRDefault="00000000">
            <w:r>
              <w:rPr>
                <w:rFonts w:eastAsia="Arial"/>
                <w:color w:val="222222"/>
                <w:sz w:val="20"/>
                <w:szCs w:val="20"/>
              </w:rPr>
              <w:t>Learn behavioral embedding from 13F sequences + text using GRU</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7E1EE" w14:textId="77777777" w:rsidR="00C21A57" w:rsidRDefault="00000000">
            <w:r>
              <w:rPr>
                <w:rFonts w:eastAsia="Arial"/>
                <w:color w:val="222222"/>
                <w:sz w:val="20"/>
                <w:szCs w:val="20"/>
              </w:rPr>
              <w:t>Time-varying persona vector per investor</w:t>
            </w:r>
          </w:p>
        </w:tc>
      </w:tr>
      <w:tr w:rsidR="00C21A57" w14:paraId="7FE36F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74534" w14:textId="77777777" w:rsidR="00C21A57" w:rsidRDefault="00000000">
            <w:r>
              <w:rPr>
                <w:rFonts w:eastAsia="Arial"/>
                <w:color w:val="222222"/>
                <w:sz w:val="20"/>
                <w:szCs w:val="20"/>
              </w:rPr>
              <w:t>Layer 2: Factor Translation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6CC0E" w14:textId="77777777" w:rsidR="00C21A57" w:rsidRDefault="00000000">
            <w:r>
              <w:rPr>
                <w:rFonts w:eastAsia="Arial"/>
                <w:color w:val="222222"/>
                <w:sz w:val="20"/>
                <w:szCs w:val="20"/>
              </w:rPr>
              <w:t>Map persona vector to Fama-French factor exposures via regression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F3223" w14:textId="77777777" w:rsidR="00C21A57" w:rsidRDefault="00000000">
            <w:r>
              <w:rPr>
                <w:rFonts w:eastAsia="Arial"/>
                <w:color w:val="222222"/>
                <w:sz w:val="20"/>
                <w:szCs w:val="20"/>
              </w:rPr>
              <w:t>Factor fingerprint per investor per regime</w:t>
            </w:r>
          </w:p>
        </w:tc>
      </w:tr>
      <w:tr w:rsidR="00C21A57" w14:paraId="342B3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88683" w14:textId="77777777" w:rsidR="00C21A57" w:rsidRDefault="00000000">
            <w:r>
              <w:rPr>
                <w:rFonts w:eastAsia="Arial"/>
                <w:color w:val="222222"/>
                <w:sz w:val="20"/>
                <w:szCs w:val="20"/>
              </w:rPr>
              <w:t>Layer 3: User Application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375D" w14:textId="77777777" w:rsidR="00C21A57" w:rsidRDefault="00000000">
            <w:r>
              <w:rPr>
                <w:rFonts w:eastAsia="Arial"/>
                <w:color w:val="222222"/>
                <w:sz w:val="20"/>
                <w:szCs w:val="20"/>
              </w:rPr>
              <w:t>Match user portfolio to nearest persona; compute gap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DA93" w14:textId="77777777" w:rsidR="00C21A57" w:rsidRDefault="00000000">
            <w:r>
              <w:rPr>
                <w:rFonts w:eastAsia="Arial"/>
                <w:color w:val="222222"/>
                <w:sz w:val="20"/>
                <w:szCs w:val="20"/>
              </w:rPr>
              <w:t>Gap analysis + ETF recommendations</w:t>
            </w:r>
          </w:p>
        </w:tc>
      </w:tr>
    </w:tbl>
    <w:p w14:paraId="79594089" w14:textId="77777777" w:rsidR="00C21A57" w:rsidRDefault="00C21A57"/>
    <w:p w14:paraId="700DBE01" w14:textId="77777777" w:rsidR="00C21A57" w:rsidRDefault="00000000">
      <w:pPr>
        <w:pStyle w:val="2"/>
      </w:pPr>
      <w:proofErr w:type="gramStart"/>
      <w:r>
        <w:t>2.2  The</w:t>
      </w:r>
      <w:proofErr w:type="gramEnd"/>
      <w:r>
        <w:t xml:space="preserve"> Persona Manifold</w:t>
      </w:r>
    </w:p>
    <w:p w14:paraId="5A3F1E54" w14:textId="77777777" w:rsidR="00C21A57" w:rsidRDefault="00000000">
      <w:pPr>
        <w:spacing w:before="60" w:after="60"/>
      </w:pPr>
      <w:r>
        <w:rPr>
          <w:rFonts w:eastAsia="Arial"/>
          <w:color w:val="222222"/>
        </w:rPr>
        <w:t>Each investor is represented not as a label but as a continuous vector across measurable dimensions. This representation, which the professor calls the persona manifold, allows mathematical comparison between any two investors or between an investor and a user portfolio.</w:t>
      </w:r>
    </w:p>
    <w:p w14:paraId="427B60FF" w14:textId="77777777" w:rsidR="00C21A57" w:rsidRDefault="00C21A57"/>
    <w:p w14:paraId="1244E05F" w14:textId="77777777" w:rsidR="00C21A57" w:rsidRDefault="00000000">
      <w:pPr>
        <w:spacing w:before="60" w:after="60"/>
      </w:pPr>
      <w:r>
        <w:rPr>
          <w:rFonts w:eastAsia="Arial"/>
          <w:color w:val="222222"/>
        </w:rPr>
        <w:t>Example persona vectors:</w:t>
      </w:r>
    </w:p>
    <w:p w14:paraId="776045CB" w14:textId="77777777" w:rsidR="00C21A57" w:rsidRDefault="00000000">
      <w:pPr>
        <w:pStyle w:val="a4"/>
        <w:numPr>
          <w:ilvl w:val="0"/>
          <w:numId w:val="2"/>
        </w:numPr>
        <w:spacing w:before="40" w:after="40"/>
      </w:pPr>
      <w:r>
        <w:rPr>
          <w:rFonts w:eastAsia="Arial"/>
          <w:color w:val="222222"/>
        </w:rPr>
        <w:t>Buffett = [high value, high quality, low turnover, high concentration, long horizon, low loss aversion]</w:t>
      </w:r>
    </w:p>
    <w:p w14:paraId="4362802C" w14:textId="77777777" w:rsidR="00C21A57" w:rsidRDefault="00000000">
      <w:pPr>
        <w:pStyle w:val="a4"/>
        <w:numPr>
          <w:ilvl w:val="0"/>
          <w:numId w:val="2"/>
        </w:numPr>
        <w:spacing w:before="40" w:after="40"/>
      </w:pPr>
      <w:r>
        <w:rPr>
          <w:rFonts w:eastAsia="Arial"/>
          <w:color w:val="222222"/>
        </w:rPr>
        <w:t>Soros = [macro-driven, high turnover, high risk tolerance, reflexive/contrarian, short horizon on tactical bets]</w:t>
      </w:r>
    </w:p>
    <w:p w14:paraId="34DBE264" w14:textId="77777777" w:rsidR="00C21A57" w:rsidRDefault="00000000">
      <w:pPr>
        <w:pStyle w:val="a4"/>
        <w:numPr>
          <w:ilvl w:val="0"/>
          <w:numId w:val="2"/>
        </w:numPr>
        <w:spacing w:before="40" w:after="40"/>
      </w:pPr>
      <w:r>
        <w:rPr>
          <w:rFonts w:eastAsia="Arial"/>
          <w:color w:val="222222"/>
        </w:rPr>
        <w:t>Dalio = [risk-balanced, cross-asset diversified, macro-sensitive, low volatility preference]</w:t>
      </w:r>
    </w:p>
    <w:p w14:paraId="7288D7F6" w14:textId="77777777" w:rsidR="00C21A57" w:rsidRDefault="00C21A57"/>
    <w:p w14:paraId="06D1FD12" w14:textId="77777777" w:rsidR="00C21A57" w:rsidRDefault="00000000">
      <w:pPr>
        <w:spacing w:before="60" w:after="60"/>
      </w:pPr>
      <w:r>
        <w:rPr>
          <w:rFonts w:eastAsia="Arial"/>
          <w:color w:val="222222"/>
        </w:rPr>
        <w:t>Crucially, these are not assigned by hand. They are learned from data — the GRU model extracts them from the sequence of quarterly portfolio behavior conditioned on macro state.</w:t>
      </w:r>
    </w:p>
    <w:p w14:paraId="40E64307" w14:textId="77777777" w:rsidR="00C21A57" w:rsidRDefault="00C21A57"/>
    <w:p w14:paraId="5CA632D1" w14:textId="77777777" w:rsidR="00C21A57" w:rsidRDefault="00000000">
      <w:pPr>
        <w:pStyle w:val="2"/>
      </w:pPr>
      <w:proofErr w:type="gramStart"/>
      <w:r>
        <w:t>2.3  Why</w:t>
      </w:r>
      <w:proofErr w:type="gramEnd"/>
      <w:r>
        <w:t xml:space="preserve"> Macro Conditioning Matters</w:t>
      </w:r>
    </w:p>
    <w:p w14:paraId="6EF85C81" w14:textId="77777777" w:rsidR="00C21A57" w:rsidRDefault="00000000">
      <w:pPr>
        <w:spacing w:before="60" w:after="60"/>
      </w:pPr>
      <w:r>
        <w:rPr>
          <w:rFonts w:eastAsia="Arial"/>
          <w:color w:val="222222"/>
        </w:rPr>
        <w:t>A static persona misses the most important behavioral signal: how does an investor change when the environment changes? The 2020 decision to buy during a crash and the 2024 decision to hold the same position are categorically different decisions — but a static snapshot treats them identically.</w:t>
      </w:r>
    </w:p>
    <w:p w14:paraId="4901C63C" w14:textId="77777777" w:rsidR="00C21A57" w:rsidRDefault="00C21A57"/>
    <w:p w14:paraId="641ED1EC" w14:textId="77777777" w:rsidR="00C21A57" w:rsidRDefault="00000000">
      <w:pPr>
        <w:spacing w:before="60" w:after="60"/>
      </w:pPr>
      <w:r>
        <w:rPr>
          <w:rFonts w:eastAsia="Arial"/>
          <w:color w:val="222222"/>
        </w:rPr>
        <w:t>By conditioning the persona on macro state, the model captures regime-dependent behavior. This directly addresses the timeline problem: you are measuring the decision in its economic context, not just the outcome.</w:t>
      </w:r>
    </w:p>
    <w:p w14:paraId="0D683AAE"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1A57" w14:paraId="7B6AD1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29FE6EC" w14:textId="77777777" w:rsidR="00C21A57" w:rsidRDefault="00000000">
            <w:r>
              <w:rPr>
                <w:rFonts w:eastAsia="Arial"/>
                <w:i/>
                <w:iCs/>
                <w:color w:val="1A1A2E"/>
                <w:sz w:val="21"/>
                <w:szCs w:val="21"/>
              </w:rPr>
              <w:t>Key insight: An investor who increases concentration during high-VIX, recession regimes is showing a fundamentally different behavioral profile from one who diversifies under the same conditions — even if their average portfolio looks identical.</w:t>
            </w:r>
          </w:p>
        </w:tc>
      </w:tr>
    </w:tbl>
    <w:p w14:paraId="4BE23649" w14:textId="77777777" w:rsidR="00C21A57" w:rsidRDefault="00C21A57"/>
    <w:p w14:paraId="40497DA3" w14:textId="77777777" w:rsidR="00C21A57" w:rsidRDefault="00000000">
      <w:pPr>
        <w:pStyle w:val="1"/>
        <w:pBdr>
          <w:bottom w:val="single" w:sz="6" w:space="4" w:color="2E75B6"/>
        </w:pBdr>
      </w:pPr>
      <w:r>
        <w:t>3. Data Sources</w:t>
      </w:r>
    </w:p>
    <w:p w14:paraId="5E65BE5D" w14:textId="77777777" w:rsidR="00C21A57" w:rsidRDefault="00000000">
      <w:pPr>
        <w:pStyle w:val="2"/>
      </w:pPr>
      <w:proofErr w:type="gramStart"/>
      <w:r>
        <w:t>3.1  13</w:t>
      </w:r>
      <w:proofErr w:type="gramEnd"/>
      <w:r>
        <w:t>F Institutional Holdings Data</w:t>
      </w:r>
    </w:p>
    <w:p w14:paraId="0044E210" w14:textId="77777777" w:rsidR="00C21A57" w:rsidRDefault="00000000">
      <w:pPr>
        <w:spacing w:before="60" w:after="60"/>
      </w:pPr>
      <w:r>
        <w:rPr>
          <w:rFonts w:eastAsia="Arial"/>
          <w:color w:val="222222"/>
        </w:rPr>
        <w:t>13F filings are quarterly reports that any US institutional manager with over $100M AUM must submit to the SEC. They disclose all US publicly traded equity holdings — ticker, number of shares, and estimated market value — as of the end of each quarter. The data is publicly available and goes back to the 1990s for most major investors.</w:t>
      </w:r>
    </w:p>
    <w:p w14:paraId="6DA11EFB"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21A57" w14:paraId="2CBF2C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2E729A" w14:textId="77777777" w:rsidR="00C21A57" w:rsidRDefault="00000000">
            <w:r>
              <w:rPr>
                <w:rFonts w:eastAsia="Arial"/>
                <w:b/>
                <w:bCs/>
                <w:color w:val="FFFFFF"/>
                <w:sz w:val="20"/>
                <w:szCs w:val="20"/>
              </w:rPr>
              <w:t>What 13F Tells You</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EF69EA" w14:textId="77777777" w:rsidR="00C21A57" w:rsidRDefault="00000000">
            <w:r>
              <w:rPr>
                <w:rFonts w:eastAsia="Arial"/>
                <w:b/>
                <w:bCs/>
                <w:color w:val="FFFFFF"/>
                <w:sz w:val="20"/>
                <w:szCs w:val="20"/>
              </w:rPr>
              <w:t>What 13F Does NOT Tell You</w:t>
            </w:r>
          </w:p>
        </w:tc>
      </w:tr>
      <w:tr w:rsidR="00C21A57" w14:paraId="1EB870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F83B" w14:textId="77777777" w:rsidR="00C21A57" w:rsidRDefault="00000000">
            <w:r>
              <w:rPr>
                <w:rFonts w:eastAsia="Arial"/>
                <w:b/>
                <w:bCs/>
                <w:color w:val="1F3864"/>
                <w:sz w:val="20"/>
                <w:szCs w:val="20"/>
              </w:rPr>
              <w:lastRenderedPageBreak/>
              <w:t>Holdings per quarter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DCB99" w14:textId="77777777" w:rsidR="00C21A57" w:rsidRDefault="00000000">
            <w:r>
              <w:rPr>
                <w:rFonts w:eastAsia="Arial"/>
                <w:color w:val="222222"/>
                <w:sz w:val="20"/>
                <w:szCs w:val="20"/>
              </w:rPr>
              <w:t>Intra-quarter trades (invisible)</w:t>
            </w:r>
          </w:p>
        </w:tc>
      </w:tr>
      <w:tr w:rsidR="00C21A57" w14:paraId="1CFADF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B11573" w14:textId="77777777" w:rsidR="00C21A57" w:rsidRDefault="00000000">
            <w:r>
              <w:rPr>
                <w:rFonts w:eastAsia="Arial"/>
                <w:b/>
                <w:bCs/>
                <w:color w:val="1F3864"/>
                <w:sz w:val="20"/>
                <w:szCs w:val="20"/>
              </w:rPr>
              <w:t>Portfolio concentration over time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909041" w14:textId="77777777" w:rsidR="00C21A57" w:rsidRDefault="00000000">
            <w:r>
              <w:rPr>
                <w:rFonts w:eastAsia="Arial"/>
                <w:color w:val="222222"/>
                <w:sz w:val="20"/>
                <w:szCs w:val="20"/>
              </w:rPr>
              <w:t>Non-US equities or bonds</w:t>
            </w:r>
          </w:p>
        </w:tc>
      </w:tr>
      <w:tr w:rsidR="00C21A57" w14:paraId="39043A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4CCE8" w14:textId="77777777" w:rsidR="00C21A57" w:rsidRDefault="00000000">
            <w:r>
              <w:rPr>
                <w:rFonts w:eastAsia="Arial"/>
                <w:b/>
                <w:bCs/>
                <w:color w:val="1F3864"/>
                <w:sz w:val="20"/>
                <w:szCs w:val="20"/>
              </w:rPr>
              <w:t>Turnover and holding periods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5D4DE" w14:textId="77777777" w:rsidR="00C21A57" w:rsidRDefault="00000000">
            <w:r>
              <w:rPr>
                <w:rFonts w:eastAsia="Arial"/>
                <w:color w:val="222222"/>
                <w:sz w:val="20"/>
                <w:szCs w:val="20"/>
              </w:rPr>
              <w:t>Short positions or options</w:t>
            </w:r>
          </w:p>
        </w:tc>
      </w:tr>
      <w:tr w:rsidR="00C21A57" w14:paraId="23D011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4F3D2D" w14:textId="77777777" w:rsidR="00C21A57" w:rsidRDefault="00000000">
            <w:r>
              <w:rPr>
                <w:rFonts w:eastAsia="Arial"/>
                <w:b/>
                <w:bCs/>
                <w:color w:val="1F3864"/>
                <w:sz w:val="20"/>
                <w:szCs w:val="20"/>
              </w:rPr>
              <w:t>Behavior during market crashes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EAEE97" w14:textId="77777777" w:rsidR="00C21A57" w:rsidRDefault="00000000">
            <w:r>
              <w:rPr>
                <w:rFonts w:eastAsia="Arial"/>
                <w:color w:val="222222"/>
                <w:sz w:val="20"/>
                <w:szCs w:val="20"/>
              </w:rPr>
              <w:t>Exact timing of entry/exit</w:t>
            </w:r>
          </w:p>
        </w:tc>
      </w:tr>
    </w:tbl>
    <w:p w14:paraId="0048352E" w14:textId="77777777" w:rsidR="00C21A57" w:rsidRDefault="00C21A57"/>
    <w:p w14:paraId="6D2CC64D" w14:textId="77777777" w:rsidR="00C21A57" w:rsidRDefault="00000000">
      <w:pPr>
        <w:spacing w:before="60" w:after="60"/>
      </w:pPr>
      <w:r>
        <w:rPr>
          <w:rFonts w:eastAsia="Arial"/>
          <w:color w:val="222222"/>
        </w:rPr>
        <w:t>The quarterly lag is a real limitation — but for long-horizon investors like Buffett and Dalio, it captures most meaningful decisions. The limitation is acknowledged explicitly in the paper.</w:t>
      </w:r>
    </w:p>
    <w:p w14:paraId="69C078B3" w14:textId="77777777" w:rsidR="00C21A57" w:rsidRDefault="00C21A57"/>
    <w:p w14:paraId="17E35581" w14:textId="77777777" w:rsidR="00C21A57" w:rsidRDefault="00000000">
      <w:pPr>
        <w:spacing w:before="60" w:after="60"/>
      </w:pPr>
      <w:r>
        <w:rPr>
          <w:rFonts w:eastAsia="Arial"/>
          <w:color w:val="222222"/>
        </w:rPr>
        <w:t>Target investors: Warren Buffett (Berkshire Hathaway), George Soros (Soros Fund), Ray Dalio (Bridgewater), Peter Lynch (historical), Cathie Wood (ARK), Stanley Druckenmiller. Approximately 6-8 investors across diverse styles.</w:t>
      </w:r>
    </w:p>
    <w:p w14:paraId="0753ED9D" w14:textId="77777777" w:rsidR="00C21A57" w:rsidRDefault="00C21A57"/>
    <w:p w14:paraId="39CF58E8" w14:textId="77777777" w:rsidR="00C21A57" w:rsidRDefault="00000000">
      <w:pPr>
        <w:pStyle w:val="2"/>
      </w:pPr>
      <w:proofErr w:type="gramStart"/>
      <w:r>
        <w:t>3.2  Text</w:t>
      </w:r>
      <w:proofErr w:type="gramEnd"/>
      <w:r>
        <w:t xml:space="preserve"> Corpus</w:t>
      </w:r>
    </w:p>
    <w:p w14:paraId="629290F3" w14:textId="77777777" w:rsidR="00C21A57" w:rsidRDefault="00000000">
      <w:pPr>
        <w:pStyle w:val="a4"/>
        <w:numPr>
          <w:ilvl w:val="0"/>
          <w:numId w:val="2"/>
        </w:numPr>
        <w:spacing w:before="40" w:after="40"/>
      </w:pPr>
      <w:r>
        <w:rPr>
          <w:rFonts w:eastAsia="Arial"/>
          <w:color w:val="222222"/>
        </w:rPr>
        <w:t>Shareholder letters (Buffett's annual letters, Dalio's principles essays)</w:t>
      </w:r>
    </w:p>
    <w:p w14:paraId="2BCF9DDC" w14:textId="77777777" w:rsidR="00C21A57" w:rsidRDefault="00000000">
      <w:pPr>
        <w:pStyle w:val="a4"/>
        <w:numPr>
          <w:ilvl w:val="0"/>
          <w:numId w:val="2"/>
        </w:numPr>
        <w:spacing w:before="40" w:after="40"/>
      </w:pPr>
      <w:r>
        <w:rPr>
          <w:rFonts w:eastAsia="Arial"/>
          <w:color w:val="222222"/>
        </w:rPr>
        <w:t>Investor interviews and conference transcripts</w:t>
      </w:r>
    </w:p>
    <w:p w14:paraId="56E7C3C2" w14:textId="77777777" w:rsidR="00C21A57" w:rsidRDefault="00000000">
      <w:pPr>
        <w:pStyle w:val="a4"/>
        <w:numPr>
          <w:ilvl w:val="0"/>
          <w:numId w:val="2"/>
        </w:numPr>
        <w:spacing w:before="40" w:after="40"/>
      </w:pPr>
      <w:r>
        <w:rPr>
          <w:rFonts w:eastAsia="Arial"/>
          <w:color w:val="222222"/>
        </w:rPr>
        <w:t>Books and published investment philosophy texts</w:t>
      </w:r>
    </w:p>
    <w:p w14:paraId="144DC438" w14:textId="77777777" w:rsidR="00C21A57" w:rsidRDefault="00000000">
      <w:pPr>
        <w:spacing w:before="60" w:after="60"/>
      </w:pPr>
      <w:r>
        <w:rPr>
          <w:rFonts w:eastAsia="Arial"/>
          <w:color w:val="222222"/>
        </w:rPr>
        <w:t>Text is matched to time periods — only text available before a given quarter is used to predict that quarter's behavior. This prevents look-ahead bias.</w:t>
      </w:r>
    </w:p>
    <w:p w14:paraId="066D4A8D" w14:textId="77777777" w:rsidR="00C21A57" w:rsidRDefault="00C21A57"/>
    <w:p w14:paraId="29D1AB29" w14:textId="77777777" w:rsidR="00C21A57" w:rsidRDefault="00000000">
      <w:pPr>
        <w:pStyle w:val="2"/>
      </w:pPr>
      <w:proofErr w:type="gramStart"/>
      <w:r>
        <w:t>3.3  Macro</w:t>
      </w:r>
      <w:proofErr w:type="gramEnd"/>
      <w:r>
        <w:t xml:space="preserve"> Indicators</w:t>
      </w:r>
    </w:p>
    <w:p w14:paraId="6BA0169D" w14:textId="77777777" w:rsidR="00C21A57" w:rsidRDefault="00000000">
      <w:pPr>
        <w:spacing w:before="60" w:after="60"/>
      </w:pPr>
      <w:r>
        <w:rPr>
          <w:rFonts w:eastAsia="Arial"/>
          <w:color w:val="222222"/>
        </w:rPr>
        <w:t>Quarterly macro data used to construct the macro state embedding:</w:t>
      </w:r>
    </w:p>
    <w:p w14:paraId="77907340" w14:textId="77777777" w:rsidR="00C21A57" w:rsidRDefault="00000000">
      <w:pPr>
        <w:pStyle w:val="a4"/>
        <w:numPr>
          <w:ilvl w:val="0"/>
          <w:numId w:val="2"/>
        </w:numPr>
        <w:spacing w:before="40" w:after="40"/>
      </w:pPr>
      <w:r>
        <w:rPr>
          <w:rFonts w:eastAsia="Arial"/>
          <w:color w:val="222222"/>
        </w:rPr>
        <w:t>GDP growth rate (quarter-over-quarter)</w:t>
      </w:r>
    </w:p>
    <w:p w14:paraId="7BA265F1" w14:textId="77777777" w:rsidR="00C21A57" w:rsidRDefault="00000000">
      <w:pPr>
        <w:pStyle w:val="a4"/>
        <w:numPr>
          <w:ilvl w:val="0"/>
          <w:numId w:val="2"/>
        </w:numPr>
        <w:spacing w:before="40" w:after="40"/>
      </w:pPr>
      <w:r>
        <w:rPr>
          <w:rFonts w:eastAsia="Arial"/>
          <w:color w:val="222222"/>
        </w:rPr>
        <w:t>Unemployment rate / labor market slack</w:t>
      </w:r>
    </w:p>
    <w:p w14:paraId="202DCCF5" w14:textId="77777777" w:rsidR="00C21A57" w:rsidRDefault="00000000">
      <w:pPr>
        <w:pStyle w:val="a4"/>
        <w:numPr>
          <w:ilvl w:val="0"/>
          <w:numId w:val="2"/>
        </w:numPr>
        <w:spacing w:before="40" w:after="40"/>
      </w:pPr>
      <w:r>
        <w:rPr>
          <w:rFonts w:eastAsia="Arial"/>
          <w:color w:val="222222"/>
        </w:rPr>
        <w:t>CPI inflation</w:t>
      </w:r>
    </w:p>
    <w:p w14:paraId="181C96F7" w14:textId="77777777" w:rsidR="00C21A57" w:rsidRDefault="00000000">
      <w:pPr>
        <w:pStyle w:val="a4"/>
        <w:numPr>
          <w:ilvl w:val="0"/>
          <w:numId w:val="2"/>
        </w:numPr>
        <w:spacing w:before="40" w:after="40"/>
      </w:pPr>
      <w:r>
        <w:rPr>
          <w:rFonts w:eastAsia="Arial"/>
          <w:color w:val="222222"/>
        </w:rPr>
        <w:t>Federal Funds Rate (or equivalent)</w:t>
      </w:r>
    </w:p>
    <w:p w14:paraId="1BD851E8" w14:textId="77777777" w:rsidR="00C21A57" w:rsidRDefault="00000000">
      <w:pPr>
        <w:pStyle w:val="a4"/>
        <w:numPr>
          <w:ilvl w:val="0"/>
          <w:numId w:val="2"/>
        </w:numPr>
        <w:spacing w:before="40" w:after="40"/>
      </w:pPr>
      <w:r>
        <w:rPr>
          <w:rFonts w:eastAsia="Arial"/>
          <w:color w:val="222222"/>
        </w:rPr>
        <w:t>VIX (equity volatility index) — quarterly average</w:t>
      </w:r>
    </w:p>
    <w:p w14:paraId="54CAF265" w14:textId="77777777" w:rsidR="00C21A57" w:rsidRDefault="00000000">
      <w:pPr>
        <w:pStyle w:val="a4"/>
        <w:numPr>
          <w:ilvl w:val="0"/>
          <w:numId w:val="2"/>
        </w:numPr>
        <w:spacing w:before="40" w:after="40"/>
      </w:pPr>
      <w:r>
        <w:rPr>
          <w:rFonts w:eastAsia="Arial"/>
          <w:color w:val="222222"/>
        </w:rPr>
        <w:t>Yield curve slope (10Y - 2Y spread)</w:t>
      </w:r>
    </w:p>
    <w:p w14:paraId="08C1E09D" w14:textId="77777777" w:rsidR="00C21A57" w:rsidRDefault="00C21A57"/>
    <w:p w14:paraId="10D2AB4C" w14:textId="77777777" w:rsidR="00C21A57" w:rsidRDefault="00000000">
      <w:pPr>
        <w:spacing w:before="60" w:after="60"/>
      </w:pPr>
      <w:r>
        <w:rPr>
          <w:rFonts w:eastAsia="Arial"/>
          <w:color w:val="222222"/>
        </w:rPr>
        <w:t xml:space="preserve">Source: FRED (Federal Reserve Economic Data), </w:t>
      </w:r>
      <w:proofErr w:type="spellStart"/>
      <w:r>
        <w:rPr>
          <w:rFonts w:eastAsia="Arial"/>
          <w:color w:val="222222"/>
        </w:rPr>
        <w:t>yfinance</w:t>
      </w:r>
      <w:proofErr w:type="spellEnd"/>
      <w:r>
        <w:rPr>
          <w:rFonts w:eastAsia="Arial"/>
          <w:color w:val="222222"/>
        </w:rPr>
        <w:t xml:space="preserve"> for VIX. All data is freely available at quarterly frequency back to the 1990s.</w:t>
      </w:r>
    </w:p>
    <w:p w14:paraId="7D02484A" w14:textId="77777777" w:rsidR="00C21A57" w:rsidRDefault="00C21A57"/>
    <w:p w14:paraId="5B9C3C3D" w14:textId="77777777" w:rsidR="00C21A57" w:rsidRDefault="00000000">
      <w:pPr>
        <w:pStyle w:val="2"/>
      </w:pPr>
      <w:proofErr w:type="gramStart"/>
      <w:r>
        <w:t>3.4  Factor</w:t>
      </w:r>
      <w:proofErr w:type="gramEnd"/>
      <w:r>
        <w:t xml:space="preserve"> Data</w:t>
      </w:r>
    </w:p>
    <w:p w14:paraId="13BFC5A8" w14:textId="77777777" w:rsidR="00C21A57" w:rsidRDefault="00000000">
      <w:pPr>
        <w:spacing w:before="60" w:after="60"/>
      </w:pPr>
      <w:r>
        <w:rPr>
          <w:rFonts w:eastAsia="Arial"/>
          <w:color w:val="222222"/>
        </w:rPr>
        <w:t>Kenneth French Data Library provides monthly Fama-French factor returns (MKT, SMB, HML, RMW, CMA) and momentum factor (MOM). These are the standard academic factor benchmarks and are freely downloadable. Used in Layer 2 for portfolio-to-factor regression.</w:t>
      </w:r>
    </w:p>
    <w:p w14:paraId="3F0E7B2C" w14:textId="77777777" w:rsidR="00C21A57" w:rsidRDefault="00C21A57"/>
    <w:p w14:paraId="29982938" w14:textId="77777777" w:rsidR="00C21A57" w:rsidRDefault="00000000">
      <w:pPr>
        <w:pStyle w:val="1"/>
        <w:pBdr>
          <w:bottom w:val="single" w:sz="6" w:space="4" w:color="2E75B6"/>
        </w:pBdr>
      </w:pPr>
      <w:r>
        <w:lastRenderedPageBreak/>
        <w:t>4. Methodology</w:t>
      </w:r>
    </w:p>
    <w:p w14:paraId="4D7201D7" w14:textId="77777777" w:rsidR="00C21A57" w:rsidRDefault="00000000">
      <w:pPr>
        <w:pStyle w:val="2"/>
      </w:pPr>
      <w:proofErr w:type="gramStart"/>
      <w:r>
        <w:t>4.1  Step</w:t>
      </w:r>
      <w:proofErr w:type="gramEnd"/>
      <w:r>
        <w:t xml:space="preserve"> 1: Macro State Embedding</w:t>
      </w:r>
    </w:p>
    <w:p w14:paraId="29BD6D4C" w14:textId="77777777" w:rsidR="00C21A57" w:rsidRDefault="00000000">
      <w:pPr>
        <w:spacing w:before="60" w:after="60"/>
      </w:pPr>
      <w:r>
        <w:rPr>
          <w:rFonts w:eastAsia="Arial"/>
          <w:color w:val="222222"/>
        </w:rPr>
        <w:t>For each quarter t, construct a discrete macro state vector M(t) by quantile-binning each macro indicator. The professor's suggested approach:</w:t>
      </w:r>
    </w:p>
    <w:p w14:paraId="6316CE6E"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1A57" w14:paraId="267491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CFA3949" w14:textId="77777777" w:rsidR="00C21A57" w:rsidRDefault="00000000">
            <w:r>
              <w:rPr>
                <w:rFonts w:eastAsia="Arial"/>
                <w:i/>
                <w:iCs/>
                <w:color w:val="1A1A2E"/>
                <w:sz w:val="21"/>
                <w:szCs w:val="21"/>
              </w:rPr>
              <w:t>Divide the full historical range of each indicator into 3 or 4 quantile buckets. Assign a discrete label (0, 1, 2, or 3) to each quarter based on where it falls. The resulting vector — e.g., (GDP:0, Unemployment:2, Inflation:1, VIX:3) — is the macro state for that quarter.</w:t>
            </w:r>
          </w:p>
        </w:tc>
      </w:tr>
    </w:tbl>
    <w:p w14:paraId="610CBE26" w14:textId="77777777" w:rsidR="00C21A57" w:rsidRDefault="00C21A57"/>
    <w:p w14:paraId="40E7A31A" w14:textId="77777777" w:rsidR="00C21A57" w:rsidRDefault="00000000">
      <w:pPr>
        <w:spacing w:before="60" w:after="60"/>
      </w:pPr>
      <w:r>
        <w:rPr>
          <w:rFonts w:eastAsia="Arial"/>
          <w:color w:val="222222"/>
        </w:rPr>
        <w:t>This is intentionally simple. The goal is not a sophisticated macro model — it is a clean, interpretable regime label that can be paired with investor behavior to ask: how does each investor respond differently across regimes?</w:t>
      </w:r>
    </w:p>
    <w:p w14:paraId="1168FA7C" w14:textId="77777777" w:rsidR="00C21A57" w:rsidRDefault="00C21A57"/>
    <w:p w14:paraId="035E18F4" w14:textId="77777777" w:rsidR="00C21A57" w:rsidRDefault="00000000">
      <w:pPr>
        <w:spacing w:before="60" w:after="60"/>
      </w:pPr>
      <w:r>
        <w:rPr>
          <w:rFonts w:eastAsia="Arial"/>
          <w:color w:val="222222"/>
        </w:rPr>
        <w:t>Example macro states:</w:t>
      </w:r>
    </w:p>
    <w:p w14:paraId="4BEFFB11" w14:textId="77777777" w:rsidR="00C21A57" w:rsidRDefault="00000000">
      <w:pPr>
        <w:pStyle w:val="a4"/>
        <w:numPr>
          <w:ilvl w:val="0"/>
          <w:numId w:val="2"/>
        </w:numPr>
        <w:spacing w:before="40" w:after="40"/>
      </w:pPr>
      <w:r>
        <w:rPr>
          <w:rFonts w:eastAsia="Arial"/>
          <w:color w:val="222222"/>
        </w:rPr>
        <w:t>(0, 3, 1, 3) = low GDP growth, high unemployment, moderate inflation, high VIX → crisis/recession regime</w:t>
      </w:r>
    </w:p>
    <w:p w14:paraId="507F9E61" w14:textId="77777777" w:rsidR="00C21A57" w:rsidRDefault="00000000">
      <w:pPr>
        <w:pStyle w:val="a4"/>
        <w:numPr>
          <w:ilvl w:val="0"/>
          <w:numId w:val="2"/>
        </w:numPr>
        <w:spacing w:before="40" w:after="40"/>
      </w:pPr>
      <w:r>
        <w:rPr>
          <w:rFonts w:eastAsia="Arial"/>
          <w:color w:val="222222"/>
        </w:rPr>
        <w:t>(3, 0, 2, 0) = high GDP growth, low unemployment, elevated inflation, low VIX → expansion regime</w:t>
      </w:r>
    </w:p>
    <w:p w14:paraId="4AEBDBF5" w14:textId="77777777" w:rsidR="00C21A57" w:rsidRDefault="00000000">
      <w:pPr>
        <w:pStyle w:val="a4"/>
        <w:numPr>
          <w:ilvl w:val="0"/>
          <w:numId w:val="2"/>
        </w:numPr>
        <w:spacing w:before="40" w:after="40"/>
      </w:pPr>
      <w:r>
        <w:rPr>
          <w:rFonts w:eastAsia="Arial"/>
          <w:color w:val="222222"/>
        </w:rPr>
        <w:t>(1, 1, 3, 2) = moderate growth, moderate labor market, high inflation, elevated VIX → stagflation-type regime</w:t>
      </w:r>
    </w:p>
    <w:p w14:paraId="55623559" w14:textId="77777777" w:rsidR="00C21A57" w:rsidRDefault="00C21A57"/>
    <w:p w14:paraId="33A56E06" w14:textId="77777777" w:rsidR="00C21A57" w:rsidRDefault="00000000">
      <w:pPr>
        <w:pStyle w:val="2"/>
      </w:pPr>
      <w:proofErr w:type="gramStart"/>
      <w:r>
        <w:t>4.2  Step</w:t>
      </w:r>
      <w:proofErr w:type="gramEnd"/>
      <w:r>
        <w:t xml:space="preserve"> 2: GRU-Based Persona Learning</w:t>
      </w:r>
    </w:p>
    <w:p w14:paraId="6C7ABC16" w14:textId="77777777" w:rsidR="00C21A57" w:rsidRDefault="00000000">
      <w:pPr>
        <w:spacing w:before="60" w:after="60"/>
      </w:pPr>
      <w:r>
        <w:rPr>
          <w:rFonts w:eastAsia="Arial"/>
          <w:color w:val="222222"/>
        </w:rPr>
        <w:t>The professor explicitly said to use an existing GitHub GRU implementation rather than building from scratch. The GRU (Gated Recurrent Unit) is a recurrent neural network architecture designed for sequential data. It is simpler than LSTM but similarly effective for learning temporal patterns.</w:t>
      </w:r>
    </w:p>
    <w:p w14:paraId="3B8E8503" w14:textId="77777777" w:rsidR="00C21A57" w:rsidRDefault="00C21A57"/>
    <w:p w14:paraId="6591A904" w14:textId="77777777" w:rsidR="00C21A57" w:rsidRDefault="00000000">
      <w:pPr>
        <w:pStyle w:val="3"/>
      </w:pPr>
      <w:r>
        <w:t>What the GRU Takes as Input</w:t>
      </w:r>
    </w:p>
    <w:p w14:paraId="200DF1FF" w14:textId="77777777" w:rsidR="00C21A57" w:rsidRDefault="00000000">
      <w:pPr>
        <w:spacing w:before="60" w:after="60"/>
      </w:pPr>
      <w:r>
        <w:rPr>
          <w:rFonts w:eastAsia="Arial"/>
          <w:color w:val="222222"/>
        </w:rPr>
        <w:t>For each investor, the input sequence at time t consists of:</w:t>
      </w:r>
    </w:p>
    <w:p w14:paraId="52097A8F" w14:textId="77777777" w:rsidR="00C21A57" w:rsidRDefault="00000000">
      <w:pPr>
        <w:pStyle w:val="a4"/>
        <w:numPr>
          <w:ilvl w:val="0"/>
          <w:numId w:val="2"/>
        </w:numPr>
        <w:spacing w:before="40" w:after="40"/>
      </w:pPr>
      <w:r>
        <w:rPr>
          <w:rFonts w:eastAsia="Arial"/>
          <w:color w:val="222222"/>
        </w:rPr>
        <w:t>Portfolio features derived from 13F: concentration (HHI), turnover rate, average holding period, sector distribution, beta of portfolio, drawdown behavior</w:t>
      </w:r>
    </w:p>
    <w:p w14:paraId="50AF9F42" w14:textId="77777777" w:rsidR="00C21A57" w:rsidRDefault="00000000">
      <w:pPr>
        <w:pStyle w:val="a4"/>
        <w:numPr>
          <w:ilvl w:val="0"/>
          <w:numId w:val="2"/>
        </w:numPr>
        <w:spacing w:before="40" w:after="40"/>
      </w:pPr>
      <w:r>
        <w:rPr>
          <w:rFonts w:eastAsia="Arial"/>
          <w:color w:val="222222"/>
        </w:rPr>
        <w:t>Macro state vector M(t) for that quarter</w:t>
      </w:r>
    </w:p>
    <w:p w14:paraId="7C7D829C" w14:textId="77777777" w:rsidR="00C21A57" w:rsidRDefault="00C21A57"/>
    <w:p w14:paraId="7608A07E" w14:textId="77777777" w:rsidR="00C21A57" w:rsidRDefault="00000000">
      <w:pPr>
        <w:pStyle w:val="3"/>
      </w:pPr>
      <w:r>
        <w:t>What the GRU Outputs</w:t>
      </w:r>
    </w:p>
    <w:p w14:paraId="4401EB59" w14:textId="77777777" w:rsidR="00C21A57" w:rsidRDefault="00000000">
      <w:pPr>
        <w:spacing w:before="60" w:after="60"/>
      </w:pPr>
      <w:r>
        <w:rPr>
          <w:rFonts w:eastAsia="Arial"/>
          <w:color w:val="222222"/>
        </w:rPr>
        <w:t>A compressed embedding vector — the behavioral persona representation — for each investor at each point in time. This is the learned latent representation of how that investor behaves given the current portfolio state and macro environment.</w:t>
      </w:r>
    </w:p>
    <w:p w14:paraId="18AE8CA0" w14:textId="77777777" w:rsidR="00C21A57" w:rsidRDefault="00C21A57"/>
    <w:p w14:paraId="7B55A10D" w14:textId="77777777" w:rsidR="00C21A57" w:rsidRDefault="00000000">
      <w:pPr>
        <w:pStyle w:val="3"/>
      </w:pPr>
      <w:r>
        <w:t>Why GRU and Not Static Features</w:t>
      </w:r>
    </w:p>
    <w:p w14:paraId="1F106224" w14:textId="77777777" w:rsidR="00C21A57" w:rsidRDefault="00000000">
      <w:pPr>
        <w:spacing w:before="60" w:after="60"/>
      </w:pPr>
      <w:r>
        <w:rPr>
          <w:rFonts w:eastAsia="Arial"/>
          <w:color w:val="222222"/>
        </w:rPr>
        <w:t xml:space="preserve">The GRU captures temporal dependencies — the fact that Buffett's behavior in 2020 Q2 is </w:t>
      </w:r>
      <w:r>
        <w:rPr>
          <w:rFonts w:eastAsia="Arial"/>
          <w:color w:val="222222"/>
        </w:rPr>
        <w:lastRenderedPageBreak/>
        <w:t>informed by what he did in 2019, 2018, and through the 2008 crisis. A static model treats each quarter independently and misses these longitudinal patterns.</w:t>
      </w:r>
    </w:p>
    <w:p w14:paraId="5291C0A4" w14:textId="77777777" w:rsidR="00C21A57" w:rsidRDefault="00C21A57"/>
    <w:p w14:paraId="3C982AF2" w14:textId="77777777" w:rsidR="00C21A57" w:rsidRDefault="00000000">
      <w:pPr>
        <w:pStyle w:val="2"/>
      </w:pPr>
      <w:proofErr w:type="gramStart"/>
      <w:r>
        <w:t>4.3  Step</w:t>
      </w:r>
      <w:proofErr w:type="gramEnd"/>
      <w:r>
        <w:t xml:space="preserve"> 3: LLM Sentiment Extraction (Stated Preference)</w:t>
      </w:r>
    </w:p>
    <w:p w14:paraId="34B457D0" w14:textId="77777777" w:rsidR="00C21A57" w:rsidRDefault="00000000">
      <w:pPr>
        <w:spacing w:before="60" w:after="60"/>
      </w:pPr>
      <w:r>
        <w:rPr>
          <w:rFonts w:eastAsia="Arial"/>
          <w:color w:val="222222"/>
        </w:rPr>
        <w:t>Using the professor's own research paper as the methodological reference, the LLM is prompted to score investor text on behavioral axes. The key methodological contribution from the paper is the Three-Arm Treatment Design:</w:t>
      </w:r>
    </w:p>
    <w:p w14:paraId="05998E7F"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21A57" w14:paraId="3A80A2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FC5FFF" w14:textId="77777777" w:rsidR="00C21A57" w:rsidRDefault="00000000">
            <w:r>
              <w:rPr>
                <w:rFonts w:eastAsia="Arial"/>
                <w:b/>
                <w:bCs/>
                <w:color w:val="FFFFFF"/>
                <w:sz w:val="20"/>
                <w:szCs w:val="20"/>
              </w:rPr>
              <w:t>Arm</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FBACE0" w14:textId="77777777" w:rsidR="00C21A57" w:rsidRDefault="00000000">
            <w:r>
              <w:rPr>
                <w:rFonts w:eastAsia="Arial"/>
                <w:b/>
                <w:bCs/>
                <w:color w:val="FFFFFF"/>
                <w:sz w:val="20"/>
                <w:szCs w:val="20"/>
              </w:rPr>
              <w:t>Prompt Frame</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23F526" w14:textId="77777777" w:rsidR="00C21A57" w:rsidRDefault="00000000">
            <w:r>
              <w:rPr>
                <w:rFonts w:eastAsia="Arial"/>
                <w:b/>
                <w:bCs/>
                <w:color w:val="FFFFFF"/>
                <w:sz w:val="20"/>
                <w:szCs w:val="20"/>
              </w:rPr>
              <w:t>What It Captures</w:t>
            </w:r>
          </w:p>
        </w:tc>
      </w:tr>
      <w:tr w:rsidR="00C21A57" w14:paraId="111403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AA1B8" w14:textId="77777777" w:rsidR="00C21A57" w:rsidRDefault="00000000">
            <w:proofErr w:type="spellStart"/>
            <w:r>
              <w:rPr>
                <w:rFonts w:eastAsia="Arial"/>
                <w:color w:val="222222"/>
                <w:sz w:val="20"/>
                <w:szCs w:val="20"/>
              </w:rPr>
              <w:t>Self Arm</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AFD64" w14:textId="77777777" w:rsidR="00C21A57" w:rsidRDefault="00000000">
            <w:r>
              <w:rPr>
                <w:rFonts w:eastAsia="Arial"/>
                <w:color w:val="222222"/>
                <w:sz w:val="20"/>
                <w:szCs w:val="20"/>
              </w:rPr>
              <w:t>"What would this investor choose?"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7AE3B" w14:textId="77777777" w:rsidR="00C21A57" w:rsidRDefault="00000000">
            <w:r>
              <w:rPr>
                <w:rFonts w:eastAsia="Arial"/>
                <w:color w:val="222222"/>
                <w:sz w:val="20"/>
                <w:szCs w:val="20"/>
              </w:rPr>
              <w:t>Operational preference / stated philosophy</w:t>
            </w:r>
          </w:p>
        </w:tc>
      </w:tr>
      <w:tr w:rsidR="00C21A57" w14:paraId="723E72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7E958" w14:textId="77777777" w:rsidR="00C21A57" w:rsidRDefault="00000000">
            <w:r>
              <w:rPr>
                <w:rFonts w:eastAsia="Arial"/>
                <w:color w:val="222222"/>
                <w:sz w:val="20"/>
                <w:szCs w:val="20"/>
              </w:rPr>
              <w:t>Human Arm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C19D" w14:textId="77777777" w:rsidR="00C21A57" w:rsidRDefault="00000000">
            <w:r>
              <w:rPr>
                <w:rFonts w:eastAsia="Arial"/>
                <w:color w:val="222222"/>
                <w:sz w:val="20"/>
                <w:szCs w:val="20"/>
              </w:rPr>
              <w:t>"What does a typical investor do?"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8C68" w14:textId="77777777" w:rsidR="00C21A57" w:rsidRDefault="00000000">
            <w:r>
              <w:rPr>
                <w:rFonts w:eastAsia="Arial"/>
                <w:color w:val="222222"/>
                <w:sz w:val="20"/>
                <w:szCs w:val="20"/>
              </w:rPr>
              <w:t>Baseline human behavioral benchmark</w:t>
            </w:r>
          </w:p>
        </w:tc>
      </w:tr>
      <w:tr w:rsidR="00C21A57" w14:paraId="271D1B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0089" w14:textId="77777777" w:rsidR="00C21A57" w:rsidRDefault="00000000">
            <w:r>
              <w:rPr>
                <w:rFonts w:eastAsia="Arial"/>
                <w:color w:val="222222"/>
                <w:sz w:val="20"/>
                <w:szCs w:val="20"/>
              </w:rPr>
              <w:t>Normative Arm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A7863" w14:textId="77777777" w:rsidR="00C21A57" w:rsidRDefault="00000000">
            <w:r>
              <w:rPr>
                <w:rFonts w:eastAsia="Arial"/>
                <w:color w:val="222222"/>
                <w:sz w:val="20"/>
                <w:szCs w:val="20"/>
              </w:rPr>
              <w:t>"What is the rational choice?"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94807" w14:textId="77777777" w:rsidR="00C21A57" w:rsidRDefault="00000000">
            <w:r>
              <w:rPr>
                <w:rFonts w:eastAsia="Arial"/>
                <w:color w:val="222222"/>
                <w:sz w:val="20"/>
                <w:szCs w:val="20"/>
              </w:rPr>
              <w:t>Theoretical benchmark for gap measurement</w:t>
            </w:r>
          </w:p>
        </w:tc>
      </w:tr>
    </w:tbl>
    <w:p w14:paraId="22A6414A" w14:textId="77777777" w:rsidR="00C21A57" w:rsidRDefault="00C21A57"/>
    <w:p w14:paraId="5F23833B" w14:textId="77777777" w:rsidR="00C21A57" w:rsidRDefault="00000000">
      <w:pPr>
        <w:spacing w:before="60" w:after="60"/>
      </w:pPr>
      <w:r>
        <w:rPr>
          <w:rFonts w:eastAsia="Arial"/>
          <w:color w:val="222222"/>
        </w:rPr>
        <w:t>This design separates genuine preference expression from knowledge retrieval — the same validation the professor used in his own paper. The sentiment scores produced are time-stamped to match the 13F quarterly periods.</w:t>
      </w:r>
    </w:p>
    <w:p w14:paraId="706E55FB" w14:textId="77777777" w:rsidR="00C21A57" w:rsidRDefault="00C21A57"/>
    <w:p w14:paraId="53E57F6F" w14:textId="77777777" w:rsidR="00C21A57" w:rsidRDefault="00000000">
      <w:pPr>
        <w:spacing w:before="60" w:after="60"/>
      </w:pPr>
      <w:r>
        <w:rPr>
          <w:rFonts w:eastAsia="Arial"/>
          <w:color w:val="222222"/>
        </w:rPr>
        <w:t>Behavioral axes scored per investor per period:</w:t>
      </w:r>
    </w:p>
    <w:p w14:paraId="2656ABE7" w14:textId="77777777" w:rsidR="00C21A57" w:rsidRDefault="00000000">
      <w:pPr>
        <w:pStyle w:val="a4"/>
        <w:numPr>
          <w:ilvl w:val="0"/>
          <w:numId w:val="2"/>
        </w:numPr>
        <w:spacing w:before="40" w:after="40"/>
      </w:pPr>
      <w:r>
        <w:rPr>
          <w:rFonts w:eastAsia="Arial"/>
          <w:color w:val="222222"/>
        </w:rPr>
        <w:t>Loss aversion (lambda): sensitivity to losses vs. equivalent gains</w:t>
      </w:r>
    </w:p>
    <w:p w14:paraId="660D89F1" w14:textId="77777777" w:rsidR="00C21A57" w:rsidRDefault="00000000">
      <w:pPr>
        <w:pStyle w:val="a4"/>
        <w:numPr>
          <w:ilvl w:val="0"/>
          <w:numId w:val="2"/>
        </w:numPr>
        <w:spacing w:before="40" w:after="40"/>
      </w:pPr>
      <w:r>
        <w:rPr>
          <w:rFonts w:eastAsia="Arial"/>
          <w:color w:val="222222"/>
        </w:rPr>
        <w:t>Risk preference (gamma): CRRA coefficient from lottery-style text prompts</w:t>
      </w:r>
    </w:p>
    <w:p w14:paraId="3071D844" w14:textId="77777777" w:rsidR="00C21A57" w:rsidRDefault="00000000">
      <w:pPr>
        <w:pStyle w:val="a4"/>
        <w:numPr>
          <w:ilvl w:val="0"/>
          <w:numId w:val="2"/>
        </w:numPr>
        <w:spacing w:before="40" w:after="40"/>
      </w:pPr>
      <w:r>
        <w:rPr>
          <w:rFonts w:eastAsia="Arial"/>
          <w:color w:val="222222"/>
        </w:rPr>
        <w:t>Time discount (beta): short-term vs. long-term orientation in language</w:t>
      </w:r>
    </w:p>
    <w:p w14:paraId="1A8269E5" w14:textId="77777777" w:rsidR="00C21A57" w:rsidRDefault="00000000">
      <w:pPr>
        <w:pStyle w:val="a4"/>
        <w:numPr>
          <w:ilvl w:val="0"/>
          <w:numId w:val="2"/>
        </w:numPr>
        <w:spacing w:before="40" w:after="40"/>
      </w:pPr>
      <w:r>
        <w:rPr>
          <w:rFonts w:eastAsia="Arial"/>
          <w:color w:val="222222"/>
        </w:rPr>
        <w:t>Overconfidence: use of definitive vs. hedged language</w:t>
      </w:r>
    </w:p>
    <w:p w14:paraId="18252AB8" w14:textId="77777777" w:rsidR="00C21A57" w:rsidRDefault="00000000">
      <w:pPr>
        <w:pStyle w:val="a4"/>
        <w:numPr>
          <w:ilvl w:val="0"/>
          <w:numId w:val="2"/>
        </w:numPr>
        <w:spacing w:before="40" w:after="40"/>
      </w:pPr>
      <w:r>
        <w:rPr>
          <w:rFonts w:eastAsia="Arial"/>
          <w:color w:val="222222"/>
        </w:rPr>
        <w:t>Herding tendency: references to consensus vs. contrarian positioning</w:t>
      </w:r>
    </w:p>
    <w:p w14:paraId="64E494FB" w14:textId="77777777" w:rsidR="00C21A57" w:rsidRDefault="00000000">
      <w:pPr>
        <w:pStyle w:val="a4"/>
        <w:numPr>
          <w:ilvl w:val="0"/>
          <w:numId w:val="2"/>
        </w:numPr>
        <w:spacing w:before="40" w:after="40"/>
      </w:pPr>
      <w:r>
        <w:rPr>
          <w:rFonts w:eastAsia="Arial"/>
          <w:color w:val="222222"/>
        </w:rPr>
        <w:t>Concentration preference: language around diversification vs. conviction bets</w:t>
      </w:r>
    </w:p>
    <w:p w14:paraId="30344D9B" w14:textId="77777777" w:rsidR="00C21A57" w:rsidRDefault="00C21A57"/>
    <w:p w14:paraId="619206C7" w14:textId="77777777" w:rsidR="00C21A57" w:rsidRDefault="00000000">
      <w:pPr>
        <w:spacing w:before="60" w:after="60"/>
      </w:pPr>
      <w:r>
        <w:rPr>
          <w:rFonts w:eastAsia="Arial"/>
          <w:color w:val="222222"/>
        </w:rPr>
        <w:t>Important note from the professor's paper: different LLMs produce different scores due to RLHF training differences. Claude models show future bias (beta = 1.5), OpenAI models show risk-seeking (gamma &lt; 0). This bias should be acknowledged and controlled for by using the same LLM consistently throughout.</w:t>
      </w:r>
    </w:p>
    <w:p w14:paraId="3A1AE778" w14:textId="77777777" w:rsidR="00C21A57" w:rsidRDefault="00C21A57"/>
    <w:p w14:paraId="352EC501" w14:textId="77777777" w:rsidR="00C21A57" w:rsidRDefault="00000000">
      <w:pPr>
        <w:pStyle w:val="2"/>
      </w:pPr>
      <w:proofErr w:type="gramStart"/>
      <w:r>
        <w:t>4.4  Step</w:t>
      </w:r>
      <w:proofErr w:type="gramEnd"/>
      <w:r>
        <w:t xml:space="preserve"> 4: Fama-French Factor Regression (Revealed Factor Exposure)</w:t>
      </w:r>
    </w:p>
    <w:p w14:paraId="5E488C1B" w14:textId="77777777" w:rsidR="00C21A57" w:rsidRDefault="00000000">
      <w:pPr>
        <w:spacing w:before="60" w:after="60"/>
      </w:pPr>
      <w:r>
        <w:rPr>
          <w:rFonts w:eastAsia="Arial"/>
          <w:color w:val="222222"/>
        </w:rPr>
        <w:t>For each investor's quarterly portfolio, run a time-series regression of portfolio returns against the Fama-French 5-factor model plus momentum:</w:t>
      </w:r>
    </w:p>
    <w:p w14:paraId="2033D25C"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1A57" w14:paraId="1C9F63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7F19D222" w14:textId="77777777" w:rsidR="00C21A57" w:rsidRDefault="00000000">
            <w:r>
              <w:rPr>
                <w:rFonts w:eastAsia="Arial"/>
                <w:i/>
                <w:iCs/>
                <w:color w:val="1A1A2E"/>
                <w:sz w:val="21"/>
                <w:szCs w:val="21"/>
              </w:rPr>
              <w:t>R(</w:t>
            </w:r>
            <w:proofErr w:type="spellStart"/>
            <w:proofErr w:type="gramStart"/>
            <w:r>
              <w:rPr>
                <w:rFonts w:eastAsia="Arial"/>
                <w:i/>
                <w:iCs/>
                <w:color w:val="1A1A2E"/>
                <w:sz w:val="21"/>
                <w:szCs w:val="21"/>
              </w:rPr>
              <w:t>p,t</w:t>
            </w:r>
            <w:proofErr w:type="spellEnd"/>
            <w:proofErr w:type="gramEnd"/>
            <w:r>
              <w:rPr>
                <w:rFonts w:eastAsia="Arial"/>
                <w:i/>
                <w:iCs/>
                <w:color w:val="1A1A2E"/>
                <w:sz w:val="21"/>
                <w:szCs w:val="21"/>
              </w:rPr>
              <w:t>) - R(</w:t>
            </w:r>
            <w:proofErr w:type="spellStart"/>
            <w:proofErr w:type="gramStart"/>
            <w:r>
              <w:rPr>
                <w:rFonts w:eastAsia="Arial"/>
                <w:i/>
                <w:iCs/>
                <w:color w:val="1A1A2E"/>
                <w:sz w:val="21"/>
                <w:szCs w:val="21"/>
              </w:rPr>
              <w:t>f,t</w:t>
            </w:r>
            <w:proofErr w:type="spellEnd"/>
            <w:proofErr w:type="gramEnd"/>
            <w:r>
              <w:rPr>
                <w:rFonts w:eastAsia="Arial"/>
                <w:i/>
                <w:iCs/>
                <w:color w:val="1A1A2E"/>
                <w:sz w:val="21"/>
                <w:szCs w:val="21"/>
              </w:rPr>
              <w:t xml:space="preserve">) = alpha + </w:t>
            </w:r>
            <w:proofErr w:type="spellStart"/>
            <w:r>
              <w:rPr>
                <w:rFonts w:eastAsia="Arial"/>
                <w:i/>
                <w:iCs/>
                <w:color w:val="1A1A2E"/>
                <w:sz w:val="21"/>
                <w:szCs w:val="21"/>
              </w:rPr>
              <w:t>beta_MKT</w:t>
            </w:r>
            <w:proofErr w:type="spellEnd"/>
            <w:r>
              <w:rPr>
                <w:rFonts w:eastAsia="Arial"/>
                <w:i/>
                <w:iCs/>
                <w:color w:val="1A1A2E"/>
                <w:sz w:val="21"/>
                <w:szCs w:val="21"/>
              </w:rPr>
              <w:t xml:space="preserve"> * MKT(t) + </w:t>
            </w:r>
            <w:proofErr w:type="spellStart"/>
            <w:r>
              <w:rPr>
                <w:rFonts w:eastAsia="Arial"/>
                <w:i/>
                <w:iCs/>
                <w:color w:val="1A1A2E"/>
                <w:sz w:val="21"/>
                <w:szCs w:val="21"/>
              </w:rPr>
              <w:t>beta_SMB</w:t>
            </w:r>
            <w:proofErr w:type="spellEnd"/>
            <w:r>
              <w:rPr>
                <w:rFonts w:eastAsia="Arial"/>
                <w:i/>
                <w:iCs/>
                <w:color w:val="1A1A2E"/>
                <w:sz w:val="21"/>
                <w:szCs w:val="21"/>
              </w:rPr>
              <w:t xml:space="preserve"> * SMB(t) + </w:t>
            </w:r>
            <w:proofErr w:type="spellStart"/>
            <w:r>
              <w:rPr>
                <w:rFonts w:eastAsia="Arial"/>
                <w:i/>
                <w:iCs/>
                <w:color w:val="1A1A2E"/>
                <w:sz w:val="21"/>
                <w:szCs w:val="21"/>
              </w:rPr>
              <w:t>beta_HML</w:t>
            </w:r>
            <w:proofErr w:type="spellEnd"/>
            <w:r>
              <w:rPr>
                <w:rFonts w:eastAsia="Arial"/>
                <w:i/>
                <w:iCs/>
                <w:color w:val="1A1A2E"/>
                <w:sz w:val="21"/>
                <w:szCs w:val="21"/>
              </w:rPr>
              <w:t xml:space="preserve"> * HML(t) + </w:t>
            </w:r>
            <w:proofErr w:type="spellStart"/>
            <w:r>
              <w:rPr>
                <w:rFonts w:eastAsia="Arial"/>
                <w:i/>
                <w:iCs/>
                <w:color w:val="1A1A2E"/>
                <w:sz w:val="21"/>
                <w:szCs w:val="21"/>
              </w:rPr>
              <w:t>beta_RMW</w:t>
            </w:r>
            <w:proofErr w:type="spellEnd"/>
            <w:r>
              <w:rPr>
                <w:rFonts w:eastAsia="Arial"/>
                <w:i/>
                <w:iCs/>
                <w:color w:val="1A1A2E"/>
                <w:sz w:val="21"/>
                <w:szCs w:val="21"/>
              </w:rPr>
              <w:t xml:space="preserve"> * RMW(t) + </w:t>
            </w:r>
            <w:proofErr w:type="spellStart"/>
            <w:r>
              <w:rPr>
                <w:rFonts w:eastAsia="Arial"/>
                <w:i/>
                <w:iCs/>
                <w:color w:val="1A1A2E"/>
                <w:sz w:val="21"/>
                <w:szCs w:val="21"/>
              </w:rPr>
              <w:t>beta_CMA</w:t>
            </w:r>
            <w:proofErr w:type="spellEnd"/>
            <w:r>
              <w:rPr>
                <w:rFonts w:eastAsia="Arial"/>
                <w:i/>
                <w:iCs/>
                <w:color w:val="1A1A2E"/>
                <w:sz w:val="21"/>
                <w:szCs w:val="21"/>
              </w:rPr>
              <w:t xml:space="preserve"> * CMA(t) + </w:t>
            </w:r>
            <w:proofErr w:type="spellStart"/>
            <w:r>
              <w:rPr>
                <w:rFonts w:eastAsia="Arial"/>
                <w:i/>
                <w:iCs/>
                <w:color w:val="1A1A2E"/>
                <w:sz w:val="21"/>
                <w:szCs w:val="21"/>
              </w:rPr>
              <w:t>beta_MOM</w:t>
            </w:r>
            <w:proofErr w:type="spellEnd"/>
            <w:r>
              <w:rPr>
                <w:rFonts w:eastAsia="Arial"/>
                <w:i/>
                <w:iCs/>
                <w:color w:val="1A1A2E"/>
                <w:sz w:val="21"/>
                <w:szCs w:val="21"/>
              </w:rPr>
              <w:t xml:space="preserve"> * MOM(t) + epsilon(t)</w:t>
            </w:r>
          </w:p>
        </w:tc>
      </w:tr>
    </w:tbl>
    <w:p w14:paraId="29C59110" w14:textId="77777777" w:rsidR="00C21A57" w:rsidRDefault="00C21A57"/>
    <w:p w14:paraId="1B5ACC83" w14:textId="77777777" w:rsidR="00C21A57" w:rsidRDefault="00000000">
      <w:pPr>
        <w:spacing w:before="60" w:after="60"/>
      </w:pPr>
      <w:r>
        <w:rPr>
          <w:rFonts w:eastAsia="Arial"/>
          <w:color w:val="222222"/>
        </w:rPr>
        <w:t xml:space="preserve">This produces the factor fingerprint — the measurable exposures that result from each </w:t>
      </w:r>
      <w:r>
        <w:rPr>
          <w:rFonts w:eastAsia="Arial"/>
          <w:color w:val="222222"/>
        </w:rPr>
        <w:lastRenderedPageBreak/>
        <w:t>investor's behavioral style. Running this regression separately for each macro regime tests whether factor exposures are stable or shift with economic conditions.</w:t>
      </w:r>
    </w:p>
    <w:p w14:paraId="05646BD3" w14:textId="77777777" w:rsidR="00C21A57" w:rsidRDefault="00C21A57"/>
    <w:p w14:paraId="788933E6" w14:textId="77777777" w:rsidR="00C21A57" w:rsidRDefault="00000000">
      <w:pPr>
        <w:spacing w:before="60" w:after="60"/>
      </w:pPr>
      <w:r>
        <w:rPr>
          <w:rFonts w:eastAsia="Arial"/>
          <w:color w:val="222222"/>
        </w:rPr>
        <w:t>Factor interpretation for each investor archetype (per professor's email):</w:t>
      </w:r>
    </w:p>
    <w:p w14:paraId="4298EBE0" w14:textId="77777777" w:rsidR="00C21A57" w:rsidRDefault="00000000">
      <w:pPr>
        <w:pStyle w:val="a4"/>
        <w:numPr>
          <w:ilvl w:val="0"/>
          <w:numId w:val="2"/>
        </w:numPr>
        <w:spacing w:before="40" w:after="40"/>
      </w:pPr>
      <w:r>
        <w:rPr>
          <w:rFonts w:eastAsia="Arial"/>
          <w:color w:val="222222"/>
        </w:rPr>
        <w:t>Buffett: high quality (RMW) + value (HML) + conservative investment (CMA) + low beta</w:t>
      </w:r>
    </w:p>
    <w:p w14:paraId="7F9DCACF" w14:textId="77777777" w:rsidR="00C21A57" w:rsidRDefault="00000000">
      <w:pPr>
        <w:pStyle w:val="a4"/>
        <w:numPr>
          <w:ilvl w:val="0"/>
          <w:numId w:val="2"/>
        </w:numPr>
        <w:spacing w:before="40" w:after="40"/>
      </w:pPr>
      <w:r>
        <w:rPr>
          <w:rFonts w:eastAsia="Arial"/>
          <w:color w:val="222222"/>
        </w:rPr>
        <w:t>Lynch: growth + reasonable value via PEG + size discovery (SMB) + earnings revision momentum</w:t>
      </w:r>
    </w:p>
    <w:p w14:paraId="637A709E" w14:textId="77777777" w:rsidR="00C21A57" w:rsidRDefault="00000000">
      <w:pPr>
        <w:pStyle w:val="a4"/>
        <w:numPr>
          <w:ilvl w:val="0"/>
          <w:numId w:val="2"/>
        </w:numPr>
        <w:spacing w:before="40" w:after="40"/>
      </w:pPr>
      <w:r>
        <w:rPr>
          <w:rFonts w:eastAsia="Arial"/>
          <w:color w:val="222222"/>
        </w:rPr>
        <w:t>Soros: macro/market beta heavy + high momentum + regime-switching</w:t>
      </w:r>
    </w:p>
    <w:p w14:paraId="6B3F3C2E" w14:textId="77777777" w:rsidR="00C21A57" w:rsidRDefault="00000000">
      <w:pPr>
        <w:pStyle w:val="a4"/>
        <w:numPr>
          <w:ilvl w:val="0"/>
          <w:numId w:val="2"/>
        </w:numPr>
        <w:spacing w:before="40" w:after="40"/>
      </w:pPr>
      <w:r>
        <w:rPr>
          <w:rFonts w:eastAsia="Arial"/>
          <w:color w:val="222222"/>
        </w:rPr>
        <w:t>Dalio: low market beta + cross-asset balance + defensive (low volatility tilt)</w:t>
      </w:r>
    </w:p>
    <w:p w14:paraId="73F4A84B" w14:textId="77777777" w:rsidR="00C21A57" w:rsidRDefault="00C21A57"/>
    <w:p w14:paraId="0BE9418E" w14:textId="77777777" w:rsidR="00C21A57" w:rsidRDefault="00000000">
      <w:pPr>
        <w:pStyle w:val="2"/>
      </w:pPr>
      <w:proofErr w:type="gramStart"/>
      <w:r>
        <w:t>4.5  Step</w:t>
      </w:r>
      <w:proofErr w:type="gramEnd"/>
      <w:r>
        <w:t xml:space="preserve"> 5: Stated vs. Revealed Divergence Analysis</w:t>
      </w:r>
    </w:p>
    <w:p w14:paraId="0E84A541" w14:textId="77777777" w:rsidR="00C21A57" w:rsidRDefault="00000000">
      <w:pPr>
        <w:spacing w:before="60" w:after="60"/>
      </w:pPr>
      <w:r>
        <w:rPr>
          <w:rFonts w:eastAsia="Arial"/>
          <w:color w:val="222222"/>
        </w:rPr>
        <w:t>The core research contribution. For each investor and each period:</w:t>
      </w:r>
    </w:p>
    <w:p w14:paraId="11C458BA" w14:textId="77777777" w:rsidR="00C21A57" w:rsidRDefault="00C21A57"/>
    <w:p w14:paraId="348C8E32" w14:textId="77777777" w:rsidR="00C21A57" w:rsidRDefault="00000000">
      <w:pPr>
        <w:pStyle w:val="a4"/>
        <w:numPr>
          <w:ilvl w:val="0"/>
          <w:numId w:val="2"/>
        </w:numPr>
        <w:spacing w:before="40" w:after="40"/>
      </w:pPr>
      <w:r>
        <w:rPr>
          <w:rFonts w:eastAsia="Arial"/>
          <w:color w:val="222222"/>
        </w:rPr>
        <w:t>Compare the GRU-learned behavioral embedding (revealed preference) against the LLM-extracted sentiment score (stated preference)</w:t>
      </w:r>
    </w:p>
    <w:p w14:paraId="0F37D79A" w14:textId="77777777" w:rsidR="00C21A57" w:rsidRDefault="00000000">
      <w:pPr>
        <w:pStyle w:val="a4"/>
        <w:numPr>
          <w:ilvl w:val="0"/>
          <w:numId w:val="2"/>
        </w:numPr>
        <w:spacing w:before="40" w:after="40"/>
      </w:pPr>
      <w:r>
        <w:rPr>
          <w:rFonts w:eastAsia="Arial"/>
          <w:color w:val="222222"/>
        </w:rPr>
        <w:t>Measure the divergence between the two along each behavioral axis</w:t>
      </w:r>
    </w:p>
    <w:p w14:paraId="6C56F4B4" w14:textId="77777777" w:rsidR="00C21A57" w:rsidRDefault="00000000">
      <w:pPr>
        <w:pStyle w:val="a4"/>
        <w:numPr>
          <w:ilvl w:val="0"/>
          <w:numId w:val="2"/>
        </w:numPr>
        <w:spacing w:before="40" w:after="40"/>
      </w:pPr>
      <w:r>
        <w:rPr>
          <w:rFonts w:eastAsia="Arial"/>
          <w:color w:val="222222"/>
        </w:rPr>
        <w:t>Test whether lower divergence (more self-consistent investors) predicts better risk-adjusted performance (Sharpe Ratio, Sortino Ratio)</w:t>
      </w:r>
    </w:p>
    <w:p w14:paraId="5EF67B59" w14:textId="77777777" w:rsidR="00C21A57" w:rsidRDefault="00000000">
      <w:pPr>
        <w:pStyle w:val="a4"/>
        <w:numPr>
          <w:ilvl w:val="0"/>
          <w:numId w:val="2"/>
        </w:numPr>
        <w:spacing w:before="40" w:after="40"/>
      </w:pPr>
      <w:r>
        <w:rPr>
          <w:rFonts w:eastAsia="Arial"/>
          <w:color w:val="222222"/>
        </w:rPr>
        <w:t>Test whether divergence increases during stress regimes (high VIX, recession macro state)</w:t>
      </w:r>
    </w:p>
    <w:p w14:paraId="30E6FCFE" w14:textId="77777777" w:rsidR="00C21A57" w:rsidRDefault="00C21A57"/>
    <w:p w14:paraId="28847930" w14:textId="77777777" w:rsidR="00C21A57" w:rsidRDefault="00000000">
      <w:pPr>
        <w:spacing w:before="60" w:after="60"/>
      </w:pPr>
      <w:r>
        <w:rPr>
          <w:rFonts w:eastAsia="Arial"/>
          <w:color w:val="222222"/>
        </w:rPr>
        <w:t>This is the finding that goes beyond a demo. If self-consistent investors systematically outperform, that is a behavioral finance result worth reporting.</w:t>
      </w:r>
    </w:p>
    <w:p w14:paraId="7D29E2E7" w14:textId="77777777" w:rsidR="00C21A57" w:rsidRDefault="00C21A57"/>
    <w:p w14:paraId="4AF2A829" w14:textId="77777777" w:rsidR="00C21A57" w:rsidRDefault="00000000">
      <w:pPr>
        <w:pStyle w:val="2"/>
      </w:pPr>
      <w:proofErr w:type="gramStart"/>
      <w:r>
        <w:t>4.6  Step</w:t>
      </w:r>
      <w:proofErr w:type="gramEnd"/>
      <w:r>
        <w:t xml:space="preserve"> 6: User-Facing Application</w:t>
      </w:r>
    </w:p>
    <w:p w14:paraId="5A2A0A7B" w14:textId="77777777" w:rsidR="00C21A57" w:rsidRDefault="00000000">
      <w:pPr>
        <w:spacing w:before="60" w:after="60"/>
      </w:pPr>
      <w:r>
        <w:rPr>
          <w:rFonts w:eastAsia="Arial"/>
          <w:color w:val="222222"/>
        </w:rPr>
        <w:t>Given the trained investor personas and factor fingerprints, new users can:</w:t>
      </w:r>
    </w:p>
    <w:p w14:paraId="19E0E581" w14:textId="77777777" w:rsidR="00C21A57" w:rsidRDefault="00C21A57"/>
    <w:p w14:paraId="63D15104" w14:textId="77777777" w:rsidR="00C21A57" w:rsidRDefault="00000000">
      <w:pPr>
        <w:pStyle w:val="a4"/>
        <w:numPr>
          <w:ilvl w:val="0"/>
          <w:numId w:val="2"/>
        </w:numPr>
        <w:spacing w:before="40" w:after="40"/>
      </w:pPr>
      <w:r>
        <w:rPr>
          <w:rFonts w:eastAsia="Arial"/>
          <w:color w:val="222222"/>
        </w:rPr>
        <w:t>Input their current portfolio holdings</w:t>
      </w:r>
    </w:p>
    <w:p w14:paraId="701DE768" w14:textId="77777777" w:rsidR="00C21A57" w:rsidRDefault="00000000">
      <w:pPr>
        <w:pStyle w:val="a4"/>
        <w:numPr>
          <w:ilvl w:val="0"/>
          <w:numId w:val="2"/>
        </w:numPr>
        <w:spacing w:before="40" w:after="40"/>
      </w:pPr>
      <w:r>
        <w:rPr>
          <w:rFonts w:eastAsia="Arial"/>
          <w:color w:val="222222"/>
        </w:rPr>
        <w:t>Answer a behavioral questionnaire (adapted from the professor's Holt-Laury and mixed-gamble tasks)</w:t>
      </w:r>
    </w:p>
    <w:p w14:paraId="464382A2" w14:textId="77777777" w:rsidR="00C21A57" w:rsidRDefault="00000000">
      <w:pPr>
        <w:pStyle w:val="a4"/>
        <w:numPr>
          <w:ilvl w:val="0"/>
          <w:numId w:val="2"/>
        </w:numPr>
        <w:spacing w:before="40" w:after="40"/>
      </w:pPr>
      <w:r>
        <w:rPr>
          <w:rFonts w:eastAsia="Arial"/>
          <w:color w:val="222222"/>
        </w:rPr>
        <w:t>Get matched to the nearest investor persona via cosine similarity on the behavioral axes</w:t>
      </w:r>
    </w:p>
    <w:p w14:paraId="26F75273" w14:textId="77777777" w:rsidR="00C21A57" w:rsidRDefault="00000000">
      <w:pPr>
        <w:pStyle w:val="a4"/>
        <w:numPr>
          <w:ilvl w:val="0"/>
          <w:numId w:val="2"/>
        </w:numPr>
        <w:spacing w:before="40" w:after="40"/>
      </w:pPr>
      <w:r>
        <w:rPr>
          <w:rFonts w:eastAsia="Arial"/>
          <w:color w:val="222222"/>
        </w:rPr>
        <w:t>See their portfolio's factor fingerprint vs. their matched persona's factor fingerprint</w:t>
      </w:r>
    </w:p>
    <w:p w14:paraId="7922D832" w14:textId="77777777" w:rsidR="00C21A57" w:rsidRDefault="00000000">
      <w:pPr>
        <w:pStyle w:val="a4"/>
        <w:numPr>
          <w:ilvl w:val="0"/>
          <w:numId w:val="2"/>
        </w:numPr>
        <w:spacing w:before="40" w:after="40"/>
      </w:pPr>
      <w:r>
        <w:rPr>
          <w:rFonts w:eastAsia="Arial"/>
          <w:color w:val="222222"/>
        </w:rPr>
        <w:t>Receive gap analysis: where their portfolio diverges from their behavioral type</w:t>
      </w:r>
    </w:p>
    <w:p w14:paraId="48CCEEE0" w14:textId="77777777" w:rsidR="00C21A57" w:rsidRDefault="00000000">
      <w:pPr>
        <w:pStyle w:val="a4"/>
        <w:numPr>
          <w:ilvl w:val="0"/>
          <w:numId w:val="2"/>
        </w:numPr>
        <w:spacing w:before="40" w:after="40"/>
      </w:pPr>
      <w:r>
        <w:rPr>
          <w:rFonts w:eastAsia="Arial"/>
          <w:color w:val="222222"/>
        </w:rPr>
        <w:t>Get ETF-level recommendations to close the gap (ETF-to-factor mapping table)</w:t>
      </w:r>
    </w:p>
    <w:p w14:paraId="78F4D2D3" w14:textId="77777777" w:rsidR="00C21A57" w:rsidRDefault="00C21A57"/>
    <w:p w14:paraId="6348E57B" w14:textId="77777777" w:rsidR="00C21A57" w:rsidRDefault="00000000">
      <w:pPr>
        <w:spacing w:before="60" w:after="60"/>
      </w:pPr>
      <w:r>
        <w:rPr>
          <w:rFonts w:eastAsia="Arial"/>
          <w:color w:val="222222"/>
        </w:rPr>
        <w:t>The final output per stock/ETF should resemble the example the professor gave:</w:t>
      </w:r>
    </w:p>
    <w:p w14:paraId="7E98910C" w14:textId="77777777" w:rsidR="00C21A57" w:rsidRDefault="00C21A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21A57" w14:paraId="589BC6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3E0172BE" w14:textId="77777777" w:rsidR="00C21A57" w:rsidRDefault="00000000">
            <w:r>
              <w:rPr>
                <w:rFonts w:eastAsia="Arial"/>
                <w:i/>
                <w:iCs/>
                <w:color w:val="1A1A2E"/>
                <w:sz w:val="21"/>
                <w:szCs w:val="21"/>
              </w:rPr>
              <w:t>Stock X: Buffett similarity 82/100, Lynch similarity 61/100 | Reason: high profitability, stable margins, moderate undervaluation, low asset growth, strong balance sheet, low momentum exposure</w:t>
            </w:r>
          </w:p>
        </w:tc>
      </w:tr>
    </w:tbl>
    <w:p w14:paraId="6B24AAE2" w14:textId="77777777" w:rsidR="00C21A57" w:rsidRDefault="00C21A57"/>
    <w:p w14:paraId="78BC98F5" w14:textId="77777777" w:rsidR="00C21A57" w:rsidRDefault="00000000">
      <w:pPr>
        <w:pStyle w:val="1"/>
        <w:pBdr>
          <w:bottom w:val="single" w:sz="6" w:space="4" w:color="2E75B6"/>
        </w:pBdr>
      </w:pPr>
      <w:r>
        <w:lastRenderedPageBreak/>
        <w:t>5.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C21A57" w14:paraId="7F95B8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44EEC1" w14:textId="77777777" w:rsidR="00C21A57" w:rsidRDefault="00000000">
            <w:r>
              <w:rPr>
                <w:rFonts w:eastAsia="Arial"/>
                <w:b/>
                <w:bCs/>
                <w:color w:val="FFFFFF"/>
                <w:sz w:val="20"/>
                <w:szCs w:val="20"/>
              </w:rPr>
              <w:t>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8856C7" w14:textId="77777777" w:rsidR="00C21A57" w:rsidRDefault="00000000">
            <w:r>
              <w:rPr>
                <w:rFonts w:eastAsia="Arial"/>
                <w:b/>
                <w:bCs/>
                <w:color w:val="FFFFFF"/>
                <w:sz w:val="20"/>
                <w:szCs w:val="20"/>
              </w:rPr>
              <w:t>Tool / Library</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75E318" w14:textId="77777777" w:rsidR="00C21A57" w:rsidRDefault="00000000">
            <w:r>
              <w:rPr>
                <w:rFonts w:eastAsia="Arial"/>
                <w:b/>
                <w:bCs/>
                <w:color w:val="FFFFFF"/>
                <w:sz w:val="20"/>
                <w:szCs w:val="20"/>
              </w:rPr>
              <w:t>Purpose</w:t>
            </w:r>
          </w:p>
        </w:tc>
      </w:tr>
      <w:tr w:rsidR="00C21A57" w14:paraId="2A7719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799DA" w14:textId="77777777" w:rsidR="00C21A57" w:rsidRDefault="00000000">
            <w:r>
              <w:rPr>
                <w:rFonts w:eastAsia="Arial"/>
                <w:color w:val="222222"/>
                <w:sz w:val="20"/>
                <w:szCs w:val="20"/>
              </w:rPr>
              <w:t>Data collection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0235" w14:textId="77777777" w:rsidR="00C21A57" w:rsidRDefault="00000000">
            <w:r>
              <w:rPr>
                <w:rFonts w:eastAsia="Arial"/>
                <w:color w:val="222222"/>
                <w:sz w:val="20"/>
                <w:szCs w:val="20"/>
              </w:rPr>
              <w:t xml:space="preserve">SEC EDGAR API, </w:t>
            </w:r>
            <w:proofErr w:type="spellStart"/>
            <w:r>
              <w:rPr>
                <w:rFonts w:eastAsia="Arial"/>
                <w:color w:val="222222"/>
                <w:sz w:val="20"/>
                <w:szCs w:val="20"/>
              </w:rPr>
              <w:t>yfinance</w:t>
            </w:r>
            <w:proofErr w:type="spellEnd"/>
            <w:r>
              <w:rPr>
                <w:rFonts w:eastAsia="Arial"/>
                <w:color w:val="222222"/>
                <w:sz w:val="20"/>
                <w:szCs w:val="20"/>
              </w:rPr>
              <w:t>, FRED API</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F8612" w14:textId="77777777" w:rsidR="00C21A57" w:rsidRDefault="00000000">
            <w:r>
              <w:rPr>
                <w:rFonts w:eastAsia="Arial"/>
                <w:color w:val="222222"/>
                <w:sz w:val="20"/>
                <w:szCs w:val="20"/>
              </w:rPr>
              <w:t>13F holdings, price data, macro indicators</w:t>
            </w:r>
          </w:p>
        </w:tc>
      </w:tr>
      <w:tr w:rsidR="00C21A57" w14:paraId="0ED932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2254C" w14:textId="77777777" w:rsidR="00C21A57" w:rsidRDefault="00000000">
            <w:r>
              <w:rPr>
                <w:rFonts w:eastAsia="Arial"/>
                <w:color w:val="222222"/>
                <w:sz w:val="20"/>
                <w:szCs w:val="20"/>
              </w:rPr>
              <w:t>Data processing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A7B4" w14:textId="77777777" w:rsidR="00C21A57" w:rsidRDefault="00000000">
            <w:r>
              <w:rPr>
                <w:rFonts w:eastAsia="Arial"/>
                <w:color w:val="222222"/>
                <w:sz w:val="20"/>
                <w:szCs w:val="20"/>
              </w:rPr>
              <w:t xml:space="preserve">pandas, </w:t>
            </w:r>
            <w:proofErr w:type="spellStart"/>
            <w:r>
              <w:rPr>
                <w:rFonts w:eastAsia="Arial"/>
                <w:color w:val="222222"/>
                <w:sz w:val="20"/>
                <w:szCs w:val="20"/>
              </w:rPr>
              <w:t>numpy</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8F16" w14:textId="77777777" w:rsidR="00C21A57" w:rsidRDefault="00000000">
            <w:r>
              <w:rPr>
                <w:rFonts w:eastAsia="Arial"/>
                <w:color w:val="222222"/>
                <w:sz w:val="20"/>
                <w:szCs w:val="20"/>
              </w:rPr>
              <w:t>Feature engineering, quantile binning, merging</w:t>
            </w:r>
          </w:p>
        </w:tc>
      </w:tr>
      <w:tr w:rsidR="00C21A57" w14:paraId="48C9F3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04999" w14:textId="77777777" w:rsidR="00C21A57" w:rsidRDefault="00000000">
            <w:r>
              <w:rPr>
                <w:rFonts w:eastAsia="Arial"/>
                <w:color w:val="222222"/>
                <w:sz w:val="20"/>
                <w:szCs w:val="20"/>
              </w:rPr>
              <w:t>Macro embedding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44860" w14:textId="77777777" w:rsidR="00C21A57" w:rsidRDefault="00000000">
            <w:r>
              <w:rPr>
                <w:rFonts w:eastAsia="Arial"/>
                <w:color w:val="222222"/>
                <w:sz w:val="20"/>
                <w:szCs w:val="20"/>
              </w:rPr>
              <w:t>Custom quantile binning (pandas)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963E5" w14:textId="77777777" w:rsidR="00C21A57" w:rsidRDefault="00000000">
            <w:r>
              <w:rPr>
                <w:rFonts w:eastAsia="Arial"/>
                <w:color w:val="222222"/>
                <w:sz w:val="20"/>
                <w:szCs w:val="20"/>
              </w:rPr>
              <w:t>Discrete macro state vector per quarter</w:t>
            </w:r>
          </w:p>
        </w:tc>
      </w:tr>
      <w:tr w:rsidR="00C21A57" w14:paraId="5881B6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2EC4" w14:textId="77777777" w:rsidR="00C21A57" w:rsidRDefault="00000000">
            <w:r>
              <w:rPr>
                <w:rFonts w:eastAsia="Arial"/>
                <w:color w:val="222222"/>
                <w:sz w:val="20"/>
                <w:szCs w:val="20"/>
              </w:rPr>
              <w:t>Persona learning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B8F2" w14:textId="77777777" w:rsidR="00C21A57" w:rsidRDefault="00000000">
            <w:r>
              <w:rPr>
                <w:rFonts w:eastAsia="Arial"/>
                <w:color w:val="222222"/>
                <w:sz w:val="20"/>
                <w:szCs w:val="20"/>
              </w:rPr>
              <w:t xml:space="preserve">GRU (GitHub implementation), </w:t>
            </w:r>
            <w:proofErr w:type="spellStart"/>
            <w:r>
              <w:rPr>
                <w:rFonts w:eastAsia="Arial"/>
                <w:color w:val="222222"/>
                <w:sz w:val="20"/>
                <w:szCs w:val="20"/>
              </w:rPr>
              <w:t>PyTorch</w:t>
            </w:r>
            <w:proofErr w:type="spellEnd"/>
            <w:r>
              <w:rPr>
                <w:rFonts w:eastAsia="Arial"/>
                <w:color w:val="222222"/>
                <w:sz w:val="20"/>
                <w:szCs w:val="20"/>
              </w:rPr>
              <w:t>/TF</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BE80B" w14:textId="77777777" w:rsidR="00C21A57" w:rsidRDefault="00000000">
            <w:r>
              <w:rPr>
                <w:rFonts w:eastAsia="Arial"/>
                <w:color w:val="222222"/>
                <w:sz w:val="20"/>
                <w:szCs w:val="20"/>
              </w:rPr>
              <w:t>Sequential behavioral embedding from 13F</w:t>
            </w:r>
          </w:p>
        </w:tc>
      </w:tr>
      <w:tr w:rsidR="00C21A57" w14:paraId="0DAC77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14C6C" w14:textId="77777777" w:rsidR="00C21A57" w:rsidRDefault="00000000">
            <w:r>
              <w:rPr>
                <w:rFonts w:eastAsia="Arial"/>
                <w:color w:val="222222"/>
                <w:sz w:val="20"/>
                <w:szCs w:val="20"/>
              </w:rPr>
              <w:t>Sentiment extraction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D7B43" w14:textId="77777777" w:rsidR="00C21A57" w:rsidRDefault="00000000">
            <w:r>
              <w:rPr>
                <w:rFonts w:eastAsia="Arial"/>
                <w:color w:val="222222"/>
                <w:sz w:val="20"/>
                <w:szCs w:val="20"/>
              </w:rPr>
              <w:t>Anthropic / OpenAI API</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A3BE" w14:textId="77777777" w:rsidR="00C21A57" w:rsidRDefault="00000000">
            <w:r>
              <w:rPr>
                <w:rFonts w:eastAsia="Arial"/>
                <w:color w:val="222222"/>
                <w:sz w:val="20"/>
                <w:szCs w:val="20"/>
              </w:rPr>
              <w:t>LLM scoring of investor text on behavioral axes</w:t>
            </w:r>
          </w:p>
        </w:tc>
      </w:tr>
      <w:tr w:rsidR="00C21A57" w14:paraId="53BD2F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1441" w14:textId="77777777" w:rsidR="00C21A57" w:rsidRDefault="00000000">
            <w:r>
              <w:rPr>
                <w:rFonts w:eastAsia="Arial"/>
                <w:color w:val="222222"/>
                <w:sz w:val="20"/>
                <w:szCs w:val="20"/>
              </w:rPr>
              <w:t>Factor regression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7DADA" w14:textId="77777777" w:rsidR="00C21A57" w:rsidRDefault="00000000">
            <w:proofErr w:type="spellStart"/>
            <w:r>
              <w:rPr>
                <w:rFonts w:eastAsia="Arial"/>
                <w:color w:val="222222"/>
                <w:sz w:val="20"/>
                <w:szCs w:val="20"/>
              </w:rPr>
              <w:t>statsmodels</w:t>
            </w:r>
            <w:proofErr w:type="spellEnd"/>
            <w:r>
              <w:rPr>
                <w:rFonts w:eastAsia="Arial"/>
                <w:color w:val="222222"/>
                <w:sz w:val="20"/>
                <w:szCs w:val="20"/>
              </w:rPr>
              <w:t xml:space="preserve"> OLS, Kenneth French Data Library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3C3D9" w14:textId="77777777" w:rsidR="00C21A57" w:rsidRDefault="00000000">
            <w:r>
              <w:rPr>
                <w:rFonts w:eastAsia="Arial"/>
                <w:color w:val="222222"/>
                <w:sz w:val="20"/>
                <w:szCs w:val="20"/>
              </w:rPr>
              <w:t>Fama-French 5-factor + MOM regression</w:t>
            </w:r>
          </w:p>
        </w:tc>
      </w:tr>
      <w:tr w:rsidR="00C21A57" w14:paraId="44E3B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A33F" w14:textId="77777777" w:rsidR="00C21A57" w:rsidRDefault="00000000">
            <w:proofErr w:type="spellStart"/>
            <w:r>
              <w:rPr>
                <w:rFonts w:eastAsia="Arial"/>
                <w:color w:val="222222"/>
                <w:sz w:val="20"/>
                <w:szCs w:val="20"/>
              </w:rPr>
              <w:t>Backtesting</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36974" w14:textId="77777777" w:rsidR="00C21A57" w:rsidRDefault="00000000">
            <w:proofErr w:type="spellStart"/>
            <w:r>
              <w:rPr>
                <w:rFonts w:eastAsia="Arial"/>
                <w:color w:val="222222"/>
                <w:sz w:val="20"/>
                <w:szCs w:val="20"/>
              </w:rPr>
              <w:t>quantstats</w:t>
            </w:r>
            <w:proofErr w:type="spellEnd"/>
            <w:r>
              <w:rPr>
                <w:rFonts w:eastAsia="Arial"/>
                <w:color w:val="222222"/>
                <w:sz w:val="20"/>
                <w:szCs w:val="20"/>
              </w:rPr>
              <w:t xml:space="preserve">, </w:t>
            </w:r>
            <w:proofErr w:type="spellStart"/>
            <w:r>
              <w:rPr>
                <w:rFonts w:eastAsia="Arial"/>
                <w:color w:val="222222"/>
                <w:sz w:val="20"/>
                <w:szCs w:val="20"/>
              </w:rPr>
              <w:t>pyfolio</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13826" w14:textId="77777777" w:rsidR="00C21A57" w:rsidRDefault="00000000">
            <w:r>
              <w:rPr>
                <w:rFonts w:eastAsia="Arial"/>
                <w:color w:val="222222"/>
                <w:sz w:val="20"/>
                <w:szCs w:val="20"/>
              </w:rPr>
              <w:t>Sharpe, Sortino, MDD performance metrics</w:t>
            </w:r>
          </w:p>
        </w:tc>
      </w:tr>
      <w:tr w:rsidR="00C21A57" w14:paraId="4DD381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09289" w14:textId="77777777" w:rsidR="00C21A57" w:rsidRDefault="00000000">
            <w:r>
              <w:rPr>
                <w:rFonts w:eastAsia="Arial"/>
                <w:color w:val="222222"/>
                <w:sz w:val="20"/>
                <w:szCs w:val="20"/>
              </w:rPr>
              <w:t>Clustering / matching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27A00" w14:textId="77777777" w:rsidR="00C21A57" w:rsidRDefault="00000000">
            <w:r>
              <w:rPr>
                <w:rFonts w:eastAsia="Arial"/>
                <w:color w:val="222222"/>
                <w:sz w:val="20"/>
                <w:szCs w:val="20"/>
              </w:rPr>
              <w:t>scikit-learn (cosine similarity, k-means)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EF897" w14:textId="77777777" w:rsidR="00C21A57" w:rsidRDefault="00000000">
            <w:r>
              <w:rPr>
                <w:rFonts w:eastAsia="Arial"/>
                <w:color w:val="222222"/>
                <w:sz w:val="20"/>
                <w:szCs w:val="20"/>
              </w:rPr>
              <w:t>User-to-persona matching</w:t>
            </w:r>
          </w:p>
        </w:tc>
      </w:tr>
      <w:tr w:rsidR="00C21A57" w14:paraId="20F0AB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1C678" w14:textId="77777777" w:rsidR="00C21A57" w:rsidRDefault="00000000">
            <w:r>
              <w:rPr>
                <w:rFonts w:eastAsia="Arial"/>
                <w:color w:val="222222"/>
                <w:sz w:val="20"/>
                <w:szCs w:val="20"/>
              </w:rPr>
              <w:t>Frontend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C41C" w14:textId="77777777" w:rsidR="00C21A57" w:rsidRDefault="00000000">
            <w:proofErr w:type="spellStart"/>
            <w:r>
              <w:rPr>
                <w:rFonts w:eastAsia="Arial"/>
                <w:color w:val="222222"/>
                <w:sz w:val="20"/>
                <w:szCs w:val="20"/>
              </w:rPr>
              <w:t>Streamlit</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B29D5" w14:textId="77777777" w:rsidR="00C21A57" w:rsidRDefault="00000000">
            <w:r>
              <w:rPr>
                <w:rFonts w:eastAsia="Arial"/>
                <w:color w:val="222222"/>
                <w:sz w:val="20"/>
                <w:szCs w:val="20"/>
              </w:rPr>
              <w:t>Interactive dashboard and demo</w:t>
            </w:r>
          </w:p>
        </w:tc>
      </w:tr>
      <w:tr w:rsidR="00C21A57" w14:paraId="45350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E9698" w14:textId="77777777" w:rsidR="00C21A57" w:rsidRDefault="00000000">
            <w:r>
              <w:rPr>
                <w:rFonts w:eastAsia="Arial"/>
                <w:color w:val="222222"/>
                <w:sz w:val="20"/>
                <w:szCs w:val="20"/>
              </w:rPr>
              <w:t>Visualization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17A4" w14:textId="77777777" w:rsidR="00C21A57" w:rsidRDefault="00000000">
            <w:r>
              <w:rPr>
                <w:rFonts w:eastAsia="Arial"/>
                <w:color w:val="222222"/>
                <w:sz w:val="20"/>
                <w:szCs w:val="20"/>
              </w:rPr>
              <w:t xml:space="preserve">matplotlib, </w:t>
            </w:r>
            <w:proofErr w:type="spellStart"/>
            <w:r>
              <w:rPr>
                <w:rFonts w:eastAsia="Arial"/>
                <w:color w:val="222222"/>
                <w:sz w:val="20"/>
                <w:szCs w:val="20"/>
              </w:rPr>
              <w:t>plotly</w:t>
            </w:r>
            <w:proofErr w:type="spellEnd"/>
            <w:r>
              <w:rPr>
                <w:rFonts w:eastAsia="Arial"/>
                <w:color w:val="222222"/>
                <w:sz w:val="20"/>
                <w:szCs w:val="20"/>
              </w:rPr>
              <w:t xml:space="preserve"> (radar charts)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C0ED" w14:textId="77777777" w:rsidR="00C21A57" w:rsidRDefault="00000000">
            <w:r>
              <w:rPr>
                <w:rFonts w:eastAsia="Arial"/>
                <w:color w:val="222222"/>
                <w:sz w:val="20"/>
                <w:szCs w:val="20"/>
              </w:rPr>
              <w:t>Persona comparison, factor fingerprint charts</w:t>
            </w:r>
          </w:p>
        </w:tc>
      </w:tr>
    </w:tbl>
    <w:p w14:paraId="1F9F8AD2" w14:textId="77777777" w:rsidR="00C21A57" w:rsidRDefault="00C21A57"/>
    <w:p w14:paraId="469D696A" w14:textId="77777777" w:rsidR="00C21A57" w:rsidRDefault="00000000">
      <w:pPr>
        <w:pStyle w:val="1"/>
        <w:pBdr>
          <w:bottom w:val="single" w:sz="6" w:space="4" w:color="2E75B6"/>
        </w:pBdr>
      </w:pPr>
      <w:r>
        <w:t>6. Team Roles &amp;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5960"/>
      </w:tblGrid>
      <w:tr w:rsidR="00C21A57" w14:paraId="196116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E1DA28" w14:textId="77777777" w:rsidR="00C21A57" w:rsidRDefault="00000000">
            <w:r>
              <w:rPr>
                <w:rFonts w:eastAsia="Arial"/>
                <w:b/>
                <w:bCs/>
                <w:color w:val="FFFFFF"/>
                <w:sz w:val="20"/>
                <w:szCs w:val="20"/>
              </w:rPr>
              <w:t>Member</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7AF16C" w14:textId="77777777" w:rsidR="00C21A57" w:rsidRDefault="00000000">
            <w:r>
              <w:rPr>
                <w:rFonts w:eastAsia="Arial"/>
                <w:b/>
                <w:bCs/>
                <w:color w:val="FFFFFF"/>
                <w:sz w:val="20"/>
                <w:szCs w:val="20"/>
              </w:rPr>
              <w:t>Area</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8C7B40" w14:textId="77777777" w:rsidR="00C21A57" w:rsidRDefault="00000000">
            <w:r>
              <w:rPr>
                <w:rFonts w:eastAsia="Arial"/>
                <w:b/>
                <w:bCs/>
                <w:color w:val="FFFFFF"/>
                <w:sz w:val="20"/>
                <w:szCs w:val="20"/>
              </w:rPr>
              <w:t>Scope</w:t>
            </w:r>
          </w:p>
        </w:tc>
      </w:tr>
      <w:tr w:rsidR="00C21A57" w14:paraId="73A148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753EF" w14:textId="77777777" w:rsidR="00C21A57" w:rsidRDefault="00000000">
            <w:r>
              <w:rPr>
                <w:rFonts w:eastAsia="Arial"/>
                <w:b/>
                <w:bCs/>
                <w:color w:val="1F3864"/>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BD961" w14:textId="77777777" w:rsidR="00C21A57" w:rsidRDefault="00000000">
            <w:r>
              <w:rPr>
                <w:rFonts w:eastAsia="Arial"/>
                <w:color w:val="222222"/>
                <w:sz w:val="20"/>
                <w:szCs w:val="20"/>
              </w:rPr>
              <w:t>Data &amp; Macro Pipeline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F4B1C" w14:textId="77777777" w:rsidR="00C21A57" w:rsidRDefault="00000000">
            <w:r>
              <w:rPr>
                <w:rFonts w:eastAsia="Arial"/>
                <w:color w:val="222222"/>
                <w:sz w:val="20"/>
                <w:szCs w:val="20"/>
              </w:rPr>
              <w:t xml:space="preserve">SEC EDGAR 13F collection, macro indicator </w:t>
            </w:r>
            <w:proofErr w:type="gramStart"/>
            <w:r>
              <w:rPr>
                <w:rFonts w:eastAsia="Arial"/>
                <w:color w:val="222222"/>
                <w:sz w:val="20"/>
                <w:szCs w:val="20"/>
              </w:rPr>
              <w:t>download</w:t>
            </w:r>
            <w:proofErr w:type="gramEnd"/>
            <w:r>
              <w:rPr>
                <w:rFonts w:eastAsia="Arial"/>
                <w:color w:val="222222"/>
                <w:sz w:val="20"/>
                <w:szCs w:val="20"/>
              </w:rPr>
              <w:t xml:space="preserve"> and quantile binning, macro state vector construction, dataset merging by quarter</w:t>
            </w:r>
          </w:p>
        </w:tc>
      </w:tr>
      <w:tr w:rsidR="00C21A57" w14:paraId="01D65B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5768CF" w14:textId="77777777" w:rsidR="00C21A57" w:rsidRDefault="00000000">
            <w:r>
              <w:rPr>
                <w:rFonts w:eastAsia="Arial"/>
                <w:b/>
                <w:bCs/>
                <w:color w:val="1F3864"/>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C8791" w14:textId="77777777" w:rsidR="00C21A57" w:rsidRDefault="00000000">
            <w:r>
              <w:rPr>
                <w:rFonts w:eastAsia="Arial"/>
                <w:color w:val="222222"/>
                <w:sz w:val="20"/>
                <w:szCs w:val="20"/>
              </w:rPr>
              <w:t>GRU Persona Model</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9B2A0" w14:textId="77777777" w:rsidR="00C21A57" w:rsidRDefault="00000000">
            <w:r>
              <w:rPr>
                <w:rFonts w:eastAsia="Arial"/>
                <w:color w:val="222222"/>
                <w:sz w:val="20"/>
                <w:szCs w:val="20"/>
              </w:rPr>
              <w:t>Find and adapt GitHub GRU implementation, feed 13F features + macro state, train persona embeddings, validate embeddings against known investor profiles</w:t>
            </w:r>
          </w:p>
        </w:tc>
      </w:tr>
      <w:tr w:rsidR="00C21A57" w14:paraId="7730AF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6B9A3" w14:textId="77777777" w:rsidR="00C21A57" w:rsidRDefault="00000000">
            <w:r>
              <w:rPr>
                <w:rFonts w:eastAsia="Arial"/>
                <w:b/>
                <w:bCs/>
                <w:color w:val="1F3864"/>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C5CE3" w14:textId="77777777" w:rsidR="00C21A57" w:rsidRDefault="00000000">
            <w:r>
              <w:rPr>
                <w:rFonts w:eastAsia="Arial"/>
                <w:color w:val="222222"/>
                <w:sz w:val="20"/>
                <w:szCs w:val="20"/>
              </w:rPr>
              <w:t>LLM Sentiment &amp; Factor Analysis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4438F" w14:textId="77777777" w:rsidR="00C21A57" w:rsidRDefault="00000000">
            <w:r>
              <w:rPr>
                <w:rFonts w:eastAsia="Arial"/>
                <w:color w:val="222222"/>
                <w:sz w:val="20"/>
                <w:szCs w:val="20"/>
              </w:rPr>
              <w:t>LLM-based text scoring using three-arm design, Fama-French factor regression per investor per regime, stated vs. revealed divergence analysis</w:t>
            </w:r>
          </w:p>
        </w:tc>
      </w:tr>
      <w:tr w:rsidR="00C21A57" w14:paraId="6ECCEB8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CF3FF5" w14:textId="77777777" w:rsidR="00C21A57" w:rsidRDefault="00000000">
            <w:r>
              <w:rPr>
                <w:rFonts w:eastAsia="Arial"/>
                <w:b/>
                <w:bCs/>
                <w:color w:val="1F3864"/>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D56CF4" w14:textId="77777777" w:rsidR="00C21A57" w:rsidRDefault="00000000">
            <w:r>
              <w:rPr>
                <w:rFonts w:eastAsia="Arial"/>
                <w:color w:val="222222"/>
                <w:sz w:val="20"/>
                <w:szCs w:val="20"/>
              </w:rPr>
              <w:t>User App &amp; Integration</w:t>
            </w:r>
          </w:p>
        </w:tc>
        <w:tc>
          <w:tcPr>
            <w:tcW w:w="5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C18309" w14:textId="77777777" w:rsidR="00C21A57" w:rsidRDefault="00000000">
            <w:proofErr w:type="spellStart"/>
            <w:r>
              <w:rPr>
                <w:rFonts w:eastAsia="Arial"/>
                <w:color w:val="222222"/>
                <w:sz w:val="20"/>
                <w:szCs w:val="20"/>
              </w:rPr>
              <w:t>Streamlit</w:t>
            </w:r>
            <w:proofErr w:type="spellEnd"/>
            <w:r>
              <w:rPr>
                <w:rFonts w:eastAsia="Arial"/>
                <w:color w:val="222222"/>
                <w:sz w:val="20"/>
                <w:szCs w:val="20"/>
              </w:rPr>
              <w:t xml:space="preserve"> dashboard, user questionnaire (Holt-Laury adapted), persona matching, ETF gap analysis, radar chart visualization, full pipeline integration</w:t>
            </w:r>
          </w:p>
        </w:tc>
      </w:tr>
    </w:tbl>
    <w:p w14:paraId="46746C2A" w14:textId="77777777" w:rsidR="00C21A57" w:rsidRDefault="00C21A57"/>
    <w:p w14:paraId="7B666417" w14:textId="77777777" w:rsidR="00C21A57" w:rsidRDefault="00000000">
      <w:pPr>
        <w:pStyle w:val="1"/>
        <w:pBdr>
          <w:bottom w:val="single" w:sz="6" w:space="4" w:color="2E75B6"/>
        </w:pBdr>
      </w:pPr>
      <w:r>
        <w:lastRenderedPageBreak/>
        <w:t>7.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C21A57" w14:paraId="20BC4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1AC895" w14:textId="77777777" w:rsidR="00C21A57" w:rsidRDefault="00000000">
            <w:r>
              <w:rPr>
                <w:rFonts w:eastAsia="Arial"/>
                <w:b/>
                <w:bCs/>
                <w:color w:val="FFFFFF"/>
                <w:sz w:val="20"/>
                <w:szCs w:val="20"/>
              </w:rPr>
              <w:t>Period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DCA20" w14:textId="77777777" w:rsidR="00C21A57" w:rsidRDefault="00000000">
            <w:r>
              <w:rPr>
                <w:rFonts w:eastAsia="Arial"/>
                <w:b/>
                <w:bCs/>
                <w:color w:val="FFFFFF"/>
                <w:sz w:val="20"/>
                <w:szCs w:val="20"/>
              </w:rPr>
              <w:t>Milestone</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903132" w14:textId="77777777" w:rsidR="00C21A57" w:rsidRDefault="00000000">
            <w:r>
              <w:rPr>
                <w:rFonts w:eastAsia="Arial"/>
                <w:b/>
                <w:bCs/>
                <w:color w:val="FFFFFF"/>
                <w:sz w:val="20"/>
                <w:szCs w:val="20"/>
              </w:rPr>
              <w:t>Key Tasks</w:t>
            </w:r>
          </w:p>
        </w:tc>
      </w:tr>
      <w:tr w:rsidR="00C21A57" w14:paraId="05DC25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A97B" w14:textId="77777777" w:rsidR="00C21A57" w:rsidRDefault="00000000">
            <w:r>
              <w:rPr>
                <w:rFonts w:eastAsia="Arial"/>
                <w:b/>
                <w:bCs/>
                <w:color w:val="1F3864"/>
                <w:sz w:val="20"/>
                <w:szCs w:val="20"/>
              </w:rPr>
              <w:t>Now ~ Apr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4B9BD" w14:textId="77777777" w:rsidR="00C21A57" w:rsidRDefault="00000000">
            <w:r>
              <w:rPr>
                <w:rFonts w:eastAsia="Arial"/>
                <w:color w:val="222222"/>
                <w:sz w:val="20"/>
                <w:szCs w:val="20"/>
              </w:rPr>
              <w:t>Data &amp; Design Lock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64A45" w14:textId="77777777" w:rsidR="00C21A57" w:rsidRDefault="00000000">
            <w:r>
              <w:rPr>
                <w:rFonts w:eastAsia="Arial"/>
                <w:color w:val="222222"/>
                <w:sz w:val="20"/>
                <w:szCs w:val="20"/>
              </w:rPr>
              <w:t xml:space="preserve">13F data collection, macro indicator </w:t>
            </w:r>
            <w:proofErr w:type="gramStart"/>
            <w:r>
              <w:rPr>
                <w:rFonts w:eastAsia="Arial"/>
                <w:color w:val="222222"/>
                <w:sz w:val="20"/>
                <w:szCs w:val="20"/>
              </w:rPr>
              <w:t>download</w:t>
            </w:r>
            <w:proofErr w:type="gramEnd"/>
            <w:r>
              <w:rPr>
                <w:rFonts w:eastAsia="Arial"/>
                <w:color w:val="222222"/>
                <w:sz w:val="20"/>
                <w:szCs w:val="20"/>
              </w:rPr>
              <w:t>, finalize 6-8 target investors, quantile binning script, GRU GitHub repo selected</w:t>
            </w:r>
          </w:p>
        </w:tc>
      </w:tr>
      <w:tr w:rsidR="00C21A57" w14:paraId="562522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8E6BBB" w14:textId="77777777" w:rsidR="00C21A57" w:rsidRDefault="00000000">
            <w:r>
              <w:rPr>
                <w:rFonts w:eastAsia="Arial"/>
                <w:b/>
                <w:bCs/>
                <w:color w:val="1F3864"/>
                <w:sz w:val="20"/>
                <w:szCs w:val="20"/>
              </w:rPr>
              <w:t>Apr 10~17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7D075" w14:textId="77777777" w:rsidR="00C21A57" w:rsidRDefault="00000000">
            <w:r>
              <w:rPr>
                <w:rFonts w:eastAsia="Arial"/>
                <w:color w:val="222222"/>
                <w:sz w:val="20"/>
                <w:szCs w:val="20"/>
              </w:rPr>
              <w:t>Proposal + Prototypes</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4E514" w14:textId="77777777" w:rsidR="00C21A57" w:rsidRDefault="00000000">
            <w:r>
              <w:rPr>
                <w:rFonts w:eastAsia="Arial"/>
                <w:color w:val="222222"/>
                <w:sz w:val="20"/>
                <w:szCs w:val="20"/>
              </w:rPr>
              <w:t>Proposal document submitted Apr 17. Each member builds module prototype in parallel</w:t>
            </w:r>
          </w:p>
        </w:tc>
      </w:tr>
      <w:tr w:rsidR="00C21A57" w14:paraId="2554AE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A9551" w14:textId="77777777" w:rsidR="00C21A57" w:rsidRDefault="00000000">
            <w:r>
              <w:rPr>
                <w:rFonts w:eastAsia="Arial"/>
                <w:b/>
                <w:bCs/>
                <w:color w:val="1F3864"/>
                <w:sz w:val="20"/>
                <w:szCs w:val="20"/>
              </w:rPr>
              <w:t>Apr 17~27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436E" w14:textId="77777777" w:rsidR="00C21A57" w:rsidRDefault="00000000">
            <w:r>
              <w:rPr>
                <w:rFonts w:eastAsia="Arial"/>
                <w:color w:val="222222"/>
                <w:sz w:val="20"/>
                <w:szCs w:val="20"/>
              </w:rPr>
              <w:t>Core Development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AA83B" w14:textId="77777777" w:rsidR="00C21A57" w:rsidRDefault="00000000">
            <w:r>
              <w:rPr>
                <w:rFonts w:eastAsia="Arial"/>
                <w:color w:val="222222"/>
                <w:sz w:val="20"/>
                <w:szCs w:val="20"/>
              </w:rPr>
              <w:t xml:space="preserve">GRU training, LLM scoring pipeline, factor regressions, </w:t>
            </w:r>
            <w:proofErr w:type="spellStart"/>
            <w:r>
              <w:rPr>
                <w:rFonts w:eastAsia="Arial"/>
                <w:color w:val="222222"/>
                <w:sz w:val="20"/>
                <w:szCs w:val="20"/>
              </w:rPr>
              <w:t>Streamlit</w:t>
            </w:r>
            <w:proofErr w:type="spellEnd"/>
            <w:r>
              <w:rPr>
                <w:rFonts w:eastAsia="Arial"/>
                <w:color w:val="222222"/>
                <w:sz w:val="20"/>
                <w:szCs w:val="20"/>
              </w:rPr>
              <w:t xml:space="preserve"> scaffold</w:t>
            </w:r>
          </w:p>
        </w:tc>
      </w:tr>
      <w:tr w:rsidR="00C21A57" w14:paraId="2A8C89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55780" w14:textId="77777777" w:rsidR="00C21A57" w:rsidRDefault="00000000">
            <w:r>
              <w:rPr>
                <w:rFonts w:eastAsia="Arial"/>
                <w:b/>
                <w:bCs/>
                <w:color w:val="1F3864"/>
                <w:sz w:val="20"/>
                <w:szCs w:val="20"/>
              </w:rPr>
              <w:t>Apr 27~May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AA73D" w14:textId="77777777" w:rsidR="00C21A57" w:rsidRDefault="00000000">
            <w:r>
              <w:rPr>
                <w:rFonts w:eastAsia="Arial"/>
                <w:color w:val="222222"/>
                <w:sz w:val="20"/>
                <w:szCs w:val="20"/>
              </w:rPr>
              <w:t>Integration + Testing</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E8B8D" w14:textId="77777777" w:rsidR="00C21A57" w:rsidRDefault="00000000">
            <w:r>
              <w:rPr>
                <w:rFonts w:eastAsia="Arial"/>
                <w:color w:val="222222"/>
                <w:sz w:val="20"/>
                <w:szCs w:val="20"/>
              </w:rPr>
              <w:t>End-to-end pipeline test, stated vs. revealed divergence results, performance metrics</w:t>
            </w:r>
          </w:p>
        </w:tc>
      </w:tr>
      <w:tr w:rsidR="00C21A57" w14:paraId="019093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3AED7" w14:textId="77777777" w:rsidR="00C21A57" w:rsidRDefault="00000000">
            <w:r>
              <w:rPr>
                <w:rFonts w:eastAsia="Arial"/>
                <w:b/>
                <w:bCs/>
                <w:color w:val="1F3864"/>
                <w:sz w:val="20"/>
                <w:szCs w:val="20"/>
              </w:rPr>
              <w:t>May 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68EB" w14:textId="77777777" w:rsidR="00C21A57" w:rsidRDefault="00000000">
            <w:r>
              <w:rPr>
                <w:rFonts w:eastAsia="Arial"/>
                <w:color w:val="222222"/>
                <w:sz w:val="20"/>
                <w:szCs w:val="20"/>
              </w:rPr>
              <w:t>Polish + Submit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A7C1" w14:textId="77777777" w:rsidR="00C21A57" w:rsidRDefault="00000000">
            <w:r>
              <w:rPr>
                <w:rFonts w:eastAsia="Arial"/>
                <w:color w:val="222222"/>
                <w:sz w:val="20"/>
                <w:szCs w:val="20"/>
              </w:rPr>
              <w:t>Term paper write-up, presentation deck, final integration test, submission May 5</w:t>
            </w:r>
          </w:p>
        </w:tc>
      </w:tr>
    </w:tbl>
    <w:p w14:paraId="227CF670" w14:textId="77777777" w:rsidR="00C21A57" w:rsidRDefault="00C21A57"/>
    <w:p w14:paraId="2F06E3D5" w14:textId="77777777" w:rsidR="00C21A57" w:rsidRDefault="00000000">
      <w:pPr>
        <w:pStyle w:val="1"/>
        <w:pBdr>
          <w:bottom w:val="single" w:sz="6" w:space="4" w:color="2E75B6"/>
        </w:pBdr>
      </w:pPr>
      <w:r>
        <w:t>8. Research Contribution &amp; Evaluation Criteria</w:t>
      </w:r>
    </w:p>
    <w:p w14:paraId="365F29C0" w14:textId="77777777" w:rsidR="00C21A57" w:rsidRDefault="00000000">
      <w:pPr>
        <w:pStyle w:val="2"/>
      </w:pPr>
      <w:proofErr w:type="gramStart"/>
      <w:r>
        <w:t>8.1  Core</w:t>
      </w:r>
      <w:proofErr w:type="gramEnd"/>
      <w:r>
        <w:t xml:space="preserve"> Research Finding</w:t>
      </w:r>
    </w:p>
    <w:p w14:paraId="7BD171E4" w14:textId="77777777" w:rsidR="00C21A57" w:rsidRDefault="00000000">
      <w:pPr>
        <w:spacing w:before="60" w:after="60"/>
      </w:pPr>
      <w:r>
        <w:rPr>
          <w:rFonts w:eastAsia="Arial"/>
          <w:color w:val="222222"/>
        </w:rPr>
        <w:t>The project tests one empirical hypothesis: investors whose stated behavioral preferences (from text) and revealed behavioral preferences (from portfolio data) are more consistent achieve better risk-adjusted returns, particularly during stress regimes.</w:t>
      </w:r>
    </w:p>
    <w:p w14:paraId="42B44176" w14:textId="77777777" w:rsidR="00C21A57" w:rsidRDefault="00C21A57">
      <w:pPr>
        <w:rPr>
          <w:rFonts w:hint="eastAsia"/>
        </w:rPr>
      </w:pPr>
    </w:p>
    <w:p w14:paraId="18402F73" w14:textId="77777777" w:rsidR="00C21A57" w:rsidRDefault="00000000">
      <w:pPr>
        <w:pStyle w:val="2"/>
      </w:pPr>
      <w:proofErr w:type="gramStart"/>
      <w:r>
        <w:t>8.2  Alignment</w:t>
      </w:r>
      <w:proofErr w:type="gramEnd"/>
      <w:r>
        <w:t xml:space="preserve"> with Course Requirements</w:t>
      </w:r>
    </w:p>
    <w:p w14:paraId="7169119C" w14:textId="77777777" w:rsidR="00C21A57" w:rsidRDefault="00000000">
      <w:pPr>
        <w:spacing w:before="60" w:after="60"/>
      </w:pPr>
      <w:r>
        <w:rPr>
          <w:rFonts w:eastAsia="Arial"/>
          <w:color w:val="222222"/>
        </w:rPr>
        <w:t>This project directly addresses the professor's four suggested topics from the syllabus:</w:t>
      </w:r>
    </w:p>
    <w:p w14:paraId="66D58EC5" w14:textId="77777777" w:rsidR="00C21A57" w:rsidRDefault="00000000">
      <w:pPr>
        <w:pStyle w:val="a4"/>
        <w:numPr>
          <w:ilvl w:val="0"/>
          <w:numId w:val="2"/>
        </w:numPr>
        <w:spacing w:before="40" w:after="40"/>
      </w:pPr>
      <w:r>
        <w:rPr>
          <w:rFonts w:eastAsia="Arial"/>
          <w:color w:val="222222"/>
        </w:rPr>
        <w:t>Behavioral Investor: the core of Layer 1 and 2 — behavioral bias extraction and profiling</w:t>
      </w:r>
    </w:p>
    <w:p w14:paraId="29D31A92" w14:textId="77777777" w:rsidR="00C21A57" w:rsidRDefault="00000000">
      <w:pPr>
        <w:pStyle w:val="a4"/>
        <w:numPr>
          <w:ilvl w:val="0"/>
          <w:numId w:val="2"/>
        </w:numPr>
        <w:spacing w:before="40" w:after="40"/>
      </w:pPr>
      <w:r>
        <w:rPr>
          <w:rFonts w:eastAsia="Arial"/>
          <w:color w:val="222222"/>
        </w:rPr>
        <w:t>AI Investor: the user application in Layer 3 — personalized portfolio optimization</w:t>
      </w:r>
    </w:p>
    <w:p w14:paraId="22AF284F" w14:textId="77777777" w:rsidR="00C21A57" w:rsidRDefault="00000000">
      <w:pPr>
        <w:pStyle w:val="a4"/>
        <w:numPr>
          <w:ilvl w:val="0"/>
          <w:numId w:val="2"/>
        </w:numPr>
        <w:spacing w:before="40" w:after="40"/>
      </w:pPr>
      <w:r>
        <w:rPr>
          <w:rFonts w:eastAsia="Arial"/>
          <w:color w:val="222222"/>
        </w:rPr>
        <w:t>Economic Sentiment Analysis: the LLM text scoring pipeline using the three-arm design</w:t>
      </w:r>
    </w:p>
    <w:p w14:paraId="34AA2D4D" w14:textId="77777777" w:rsidR="00C21A57" w:rsidRDefault="00000000">
      <w:pPr>
        <w:pStyle w:val="a4"/>
        <w:numPr>
          <w:ilvl w:val="0"/>
          <w:numId w:val="2"/>
        </w:numPr>
        <w:spacing w:before="40" w:after="40"/>
      </w:pPr>
      <w:r>
        <w:rPr>
          <w:rFonts w:eastAsia="Arial"/>
          <w:color w:val="222222"/>
        </w:rPr>
        <w:t>AI Reasoning in Finance: using LLM-as-a-Judge methodology from the professor's own paper</w:t>
      </w:r>
    </w:p>
    <w:p w14:paraId="7F98AB33" w14:textId="77777777" w:rsidR="00C21A57" w:rsidRDefault="00C21A57"/>
    <w:p w14:paraId="1EECC7A1" w14:textId="77777777" w:rsidR="00C21A57" w:rsidRDefault="00000000">
      <w:pPr>
        <w:spacing w:before="60" w:after="60"/>
      </w:pPr>
      <w:r>
        <w:rPr>
          <w:rFonts w:eastAsia="Arial"/>
          <w:color w:val="222222"/>
        </w:rPr>
        <w:t>The implementation strategy follows the professor's explicit guidance: existing GRU code from GitHub is adapted (mimic + reproduce) rather than built from scratch. The Fama-French data and SEC EDGAR data are standard, well-documented sources. The complexity is in the integration and the research question, not in inventing new algorithms.</w:t>
      </w:r>
    </w:p>
    <w:p w14:paraId="7CB327F4" w14:textId="77777777" w:rsidR="00C21A57" w:rsidRDefault="00C21A57"/>
    <w:p w14:paraId="0010ABE3" w14:textId="77777777" w:rsidR="00C21A57" w:rsidRDefault="00000000">
      <w:pPr>
        <w:pStyle w:val="2"/>
      </w:pPr>
      <w:proofErr w:type="gramStart"/>
      <w:r>
        <w:t>8.3  Honest</w:t>
      </w:r>
      <w:proofErr w:type="gramEnd"/>
      <w:r>
        <w:t xml:space="preserve"> Limitations to Acknowledge in the Paper</w:t>
      </w:r>
    </w:p>
    <w:p w14:paraId="1A9EDAB1" w14:textId="77777777" w:rsidR="00C21A57" w:rsidRDefault="00000000">
      <w:pPr>
        <w:pStyle w:val="a4"/>
        <w:numPr>
          <w:ilvl w:val="0"/>
          <w:numId w:val="2"/>
        </w:numPr>
        <w:spacing w:before="40" w:after="40"/>
      </w:pPr>
      <w:r>
        <w:rPr>
          <w:rFonts w:eastAsia="Arial"/>
          <w:color w:val="222222"/>
        </w:rPr>
        <w:t>13F data is quarterly — intra-quarter decisions are invisible. This limits precision for high-turnover investors but is acceptable for long-horizon investors.</w:t>
      </w:r>
    </w:p>
    <w:p w14:paraId="5B3866C2" w14:textId="77777777" w:rsidR="00C21A57" w:rsidRDefault="00000000">
      <w:pPr>
        <w:pStyle w:val="a4"/>
        <w:numPr>
          <w:ilvl w:val="0"/>
          <w:numId w:val="2"/>
        </w:numPr>
        <w:spacing w:before="40" w:after="40"/>
      </w:pPr>
      <w:r>
        <w:rPr>
          <w:rFonts w:eastAsia="Arial"/>
          <w:color w:val="222222"/>
        </w:rPr>
        <w:t>Text corpus is uneven — Buffett has decades of annual letters; some investors have limited public text. Sample sizes vary.</w:t>
      </w:r>
    </w:p>
    <w:p w14:paraId="1DCAF94A" w14:textId="77777777" w:rsidR="00C21A57" w:rsidRDefault="00000000">
      <w:pPr>
        <w:pStyle w:val="a4"/>
        <w:numPr>
          <w:ilvl w:val="0"/>
          <w:numId w:val="2"/>
        </w:numPr>
        <w:spacing w:before="40" w:after="40"/>
      </w:pPr>
      <w:r>
        <w:rPr>
          <w:rFonts w:eastAsia="Arial"/>
          <w:color w:val="222222"/>
        </w:rPr>
        <w:lastRenderedPageBreak/>
        <w:t>LLM bias: different LLMs produce different sentiment scores due to RLHF differences (per the professor's paper). Controlled by using one LLM consistently.</w:t>
      </w:r>
    </w:p>
    <w:p w14:paraId="0ECA40DC" w14:textId="77777777" w:rsidR="00C21A57" w:rsidRDefault="00000000">
      <w:pPr>
        <w:pStyle w:val="a4"/>
        <w:numPr>
          <w:ilvl w:val="0"/>
          <w:numId w:val="2"/>
        </w:numPr>
        <w:spacing w:before="40" w:after="40"/>
      </w:pPr>
      <w:r>
        <w:rPr>
          <w:rFonts w:eastAsia="Arial"/>
          <w:color w:val="222222"/>
        </w:rPr>
        <w:t>GRU persona learning requires sufficient time-series data per investor — investors with fewer than 10 years of 13F data may produce unreliable embeddings.</w:t>
      </w:r>
    </w:p>
    <w:p w14:paraId="0026FB83" w14:textId="77777777" w:rsidR="00C21A57" w:rsidRDefault="00000000">
      <w:pPr>
        <w:pStyle w:val="a4"/>
        <w:numPr>
          <w:ilvl w:val="0"/>
          <w:numId w:val="2"/>
        </w:numPr>
        <w:spacing w:before="40" w:after="40"/>
      </w:pPr>
      <w:r>
        <w:rPr>
          <w:rFonts w:eastAsia="Arial"/>
          <w:color w:val="222222"/>
        </w:rPr>
        <w:t>Survivorship bias: the investors chosen are known successes. Their behavioral profiles may not generalize.</w:t>
      </w:r>
    </w:p>
    <w:p w14:paraId="728B7DEB" w14:textId="77777777" w:rsidR="00C21A57" w:rsidRDefault="00C21A57"/>
    <w:p w14:paraId="6C6A9C74" w14:textId="77777777" w:rsidR="00C21A57" w:rsidRDefault="00000000">
      <w:pPr>
        <w:pStyle w:val="1"/>
        <w:pBdr>
          <w:bottom w:val="single" w:sz="6" w:space="4" w:color="2E75B6"/>
        </w:pBdr>
      </w:pPr>
      <w:r>
        <w:t>9. Key References</w:t>
      </w:r>
    </w:p>
    <w:p w14:paraId="5100EE93" w14:textId="77777777" w:rsidR="00C21A57" w:rsidRDefault="00000000">
      <w:pPr>
        <w:spacing w:before="60" w:after="60"/>
      </w:pPr>
      <w:r>
        <w:rPr>
          <w:rFonts w:eastAsia="Arial"/>
          <w:color w:val="222222"/>
        </w:rPr>
        <w:t xml:space="preserve">Chung, C. &amp; Lee, Y. (2025). Behavioral Economics of AI: Experimental Evidence on Preference Signatures of Large Language Models. </w:t>
      </w:r>
      <w:proofErr w:type="spellStart"/>
      <w:r>
        <w:rPr>
          <w:rFonts w:eastAsia="Arial"/>
          <w:color w:val="222222"/>
        </w:rPr>
        <w:t>Sogang</w:t>
      </w:r>
      <w:proofErr w:type="spellEnd"/>
      <w:r>
        <w:rPr>
          <w:rFonts w:eastAsia="Arial"/>
          <w:color w:val="222222"/>
        </w:rPr>
        <w:t xml:space="preserve"> University Working Paper. [Professor's own paper — primary methodological reference for LLM scoring design]</w:t>
      </w:r>
    </w:p>
    <w:p w14:paraId="28D0D73D" w14:textId="77777777" w:rsidR="00C21A57" w:rsidRDefault="00C21A57">
      <w:pPr>
        <w:rPr>
          <w:rFonts w:hint="eastAsia"/>
        </w:rPr>
      </w:pPr>
    </w:p>
    <w:p w14:paraId="6EDE085D" w14:textId="77777777" w:rsidR="00C21A57" w:rsidRDefault="00000000">
      <w:pPr>
        <w:spacing w:before="60" w:after="60"/>
      </w:pPr>
      <w:r>
        <w:rPr>
          <w:rFonts w:eastAsia="Arial"/>
          <w:color w:val="222222"/>
        </w:rPr>
        <w:t>De Prado, M.L. (2018). Advances in Financial Machine Learning. Wiley. [Triple barrier labeling, meta-labeling methodology]</w:t>
      </w:r>
    </w:p>
    <w:p w14:paraId="56F3C362" w14:textId="77777777" w:rsidR="00C21A57" w:rsidRDefault="00C21A57"/>
    <w:p w14:paraId="609B5A25" w14:textId="77777777" w:rsidR="00C21A57" w:rsidRDefault="00000000">
      <w:pPr>
        <w:spacing w:before="60" w:after="60"/>
      </w:pPr>
      <w:r>
        <w:rPr>
          <w:rFonts w:eastAsia="Arial"/>
          <w:color w:val="222222"/>
        </w:rPr>
        <w:t>Fama, E. &amp; French, K. (2015). A Five-Factor Asset Pricing Model. Journal of Financial Economics. [Factor regression framework]</w:t>
      </w:r>
    </w:p>
    <w:p w14:paraId="42DE2B96" w14:textId="77777777" w:rsidR="00C21A57" w:rsidRDefault="00C21A57"/>
    <w:p w14:paraId="603AF3C7" w14:textId="77777777" w:rsidR="00C21A57" w:rsidRDefault="00000000">
      <w:pPr>
        <w:spacing w:before="60" w:after="60"/>
      </w:pPr>
      <w:r>
        <w:rPr>
          <w:rFonts w:eastAsia="Arial"/>
          <w:color w:val="222222"/>
        </w:rPr>
        <w:t xml:space="preserve">Kahneman, D. &amp; Tversky, A. (1979). Prospect Theory: An Analysis of Decision Under Risk. </w:t>
      </w:r>
      <w:proofErr w:type="spellStart"/>
      <w:r>
        <w:rPr>
          <w:rFonts w:eastAsia="Arial"/>
          <w:color w:val="222222"/>
        </w:rPr>
        <w:t>Econometrica</w:t>
      </w:r>
      <w:proofErr w:type="spellEnd"/>
      <w:r>
        <w:rPr>
          <w:rFonts w:eastAsia="Arial"/>
          <w:color w:val="222222"/>
        </w:rPr>
        <w:t>. [Behavioral economics foundation — loss aversion, framing effects]</w:t>
      </w:r>
    </w:p>
    <w:p w14:paraId="50A714C6" w14:textId="77777777" w:rsidR="00C21A57" w:rsidRDefault="00C21A57"/>
    <w:p w14:paraId="34D4D6F5" w14:textId="77777777" w:rsidR="00C21A57" w:rsidRDefault="00000000">
      <w:pPr>
        <w:spacing w:before="60" w:after="60"/>
      </w:pPr>
      <w:proofErr w:type="spellStart"/>
      <w:r>
        <w:rPr>
          <w:rFonts w:eastAsia="Arial"/>
          <w:color w:val="222222"/>
        </w:rPr>
        <w:t>Laibson</w:t>
      </w:r>
      <w:proofErr w:type="spellEnd"/>
      <w:r>
        <w:rPr>
          <w:rFonts w:eastAsia="Arial"/>
          <w:color w:val="222222"/>
        </w:rPr>
        <w:t>, D. (1997). Golden Eggs and Hyperbolic Discounting. Quarterly Journal of Economics. [Time preference / present bias framework]</w:t>
      </w:r>
    </w:p>
    <w:p w14:paraId="6447457A" w14:textId="77777777" w:rsidR="00C21A57" w:rsidRDefault="00C21A57"/>
    <w:p w14:paraId="1D41364F" w14:textId="77777777" w:rsidR="00C21A57" w:rsidRDefault="00000000">
      <w:pPr>
        <w:spacing w:before="60" w:after="60"/>
      </w:pPr>
      <w:r>
        <w:rPr>
          <w:rFonts w:eastAsia="Arial"/>
          <w:color w:val="222222"/>
        </w:rPr>
        <w:t>Holt, C. &amp; Laury, S. (2002). Risk Aversion and Incentive Effects. American Economic Review. [Holt-Laury lottery design — adapted for user questionnaire]</w:t>
      </w:r>
    </w:p>
    <w:p w14:paraId="69CD3822" w14:textId="77777777" w:rsidR="00C21A57" w:rsidRDefault="00C21A57"/>
    <w:sectPr w:rsidR="00C21A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FE0"/>
    <w:multiLevelType w:val="hybridMultilevel"/>
    <w:tmpl w:val="CFC680DE"/>
    <w:lvl w:ilvl="0" w:tplc="51B88BB6">
      <w:start w:val="1"/>
      <w:numFmt w:val="decimal"/>
      <w:lvlText w:val="%1."/>
      <w:lvlJc w:val="left"/>
      <w:pPr>
        <w:ind w:left="720" w:hanging="360"/>
      </w:pPr>
    </w:lvl>
    <w:lvl w:ilvl="1" w:tplc="66E4D5A8">
      <w:numFmt w:val="decimal"/>
      <w:lvlText w:val=""/>
      <w:lvlJc w:val="left"/>
    </w:lvl>
    <w:lvl w:ilvl="2" w:tplc="07FCC5C8">
      <w:numFmt w:val="decimal"/>
      <w:lvlText w:val=""/>
      <w:lvlJc w:val="left"/>
    </w:lvl>
    <w:lvl w:ilvl="3" w:tplc="03289654">
      <w:numFmt w:val="decimal"/>
      <w:lvlText w:val=""/>
      <w:lvlJc w:val="left"/>
    </w:lvl>
    <w:lvl w:ilvl="4" w:tplc="8F58AB94">
      <w:numFmt w:val="decimal"/>
      <w:lvlText w:val=""/>
      <w:lvlJc w:val="left"/>
    </w:lvl>
    <w:lvl w:ilvl="5" w:tplc="D6ECBA32">
      <w:numFmt w:val="decimal"/>
      <w:lvlText w:val=""/>
      <w:lvlJc w:val="left"/>
    </w:lvl>
    <w:lvl w:ilvl="6" w:tplc="A894C672">
      <w:numFmt w:val="decimal"/>
      <w:lvlText w:val=""/>
      <w:lvlJc w:val="left"/>
    </w:lvl>
    <w:lvl w:ilvl="7" w:tplc="A4EC91DA">
      <w:numFmt w:val="decimal"/>
      <w:lvlText w:val=""/>
      <w:lvlJc w:val="left"/>
    </w:lvl>
    <w:lvl w:ilvl="8" w:tplc="C764FF9C">
      <w:numFmt w:val="decimal"/>
      <w:lvlText w:val=""/>
      <w:lvlJc w:val="left"/>
    </w:lvl>
  </w:abstractNum>
  <w:abstractNum w:abstractNumId="1" w15:restartNumberingAfterBreak="0">
    <w:nsid w:val="0D314DA9"/>
    <w:multiLevelType w:val="hybridMultilevel"/>
    <w:tmpl w:val="2D2C73FC"/>
    <w:lvl w:ilvl="0" w:tplc="1C7043CE">
      <w:start w:val="1"/>
      <w:numFmt w:val="bullet"/>
      <w:lvlText w:val="•"/>
      <w:lvlJc w:val="left"/>
      <w:pPr>
        <w:ind w:left="720" w:hanging="360"/>
      </w:pPr>
    </w:lvl>
    <w:lvl w:ilvl="1" w:tplc="A21A5600">
      <w:numFmt w:val="decimal"/>
      <w:lvlText w:val=""/>
      <w:lvlJc w:val="left"/>
    </w:lvl>
    <w:lvl w:ilvl="2" w:tplc="D36A38DC">
      <w:numFmt w:val="decimal"/>
      <w:lvlText w:val=""/>
      <w:lvlJc w:val="left"/>
    </w:lvl>
    <w:lvl w:ilvl="3" w:tplc="B562FB18">
      <w:numFmt w:val="decimal"/>
      <w:lvlText w:val=""/>
      <w:lvlJc w:val="left"/>
    </w:lvl>
    <w:lvl w:ilvl="4" w:tplc="65D4EB26">
      <w:numFmt w:val="decimal"/>
      <w:lvlText w:val=""/>
      <w:lvlJc w:val="left"/>
    </w:lvl>
    <w:lvl w:ilvl="5" w:tplc="B1DCE4A0">
      <w:numFmt w:val="decimal"/>
      <w:lvlText w:val=""/>
      <w:lvlJc w:val="left"/>
    </w:lvl>
    <w:lvl w:ilvl="6" w:tplc="7640F986">
      <w:numFmt w:val="decimal"/>
      <w:lvlText w:val=""/>
      <w:lvlJc w:val="left"/>
    </w:lvl>
    <w:lvl w:ilvl="7" w:tplc="4BFC90D8">
      <w:numFmt w:val="decimal"/>
      <w:lvlText w:val=""/>
      <w:lvlJc w:val="left"/>
    </w:lvl>
    <w:lvl w:ilvl="8" w:tplc="5ADADB78">
      <w:numFmt w:val="decimal"/>
      <w:lvlText w:val=""/>
      <w:lvlJc w:val="left"/>
    </w:lvl>
  </w:abstractNum>
  <w:abstractNum w:abstractNumId="2" w15:restartNumberingAfterBreak="0">
    <w:nsid w:val="123940BB"/>
    <w:multiLevelType w:val="hybridMultilevel"/>
    <w:tmpl w:val="0D56E30C"/>
    <w:lvl w:ilvl="0" w:tplc="C1348354">
      <w:start w:val="1"/>
      <w:numFmt w:val="bullet"/>
      <w:lvlText w:val="●"/>
      <w:lvlJc w:val="left"/>
      <w:pPr>
        <w:ind w:left="720" w:hanging="360"/>
      </w:pPr>
    </w:lvl>
    <w:lvl w:ilvl="1" w:tplc="94F61A06">
      <w:start w:val="1"/>
      <w:numFmt w:val="bullet"/>
      <w:lvlText w:val="○"/>
      <w:lvlJc w:val="left"/>
      <w:pPr>
        <w:ind w:left="1440" w:hanging="360"/>
      </w:pPr>
    </w:lvl>
    <w:lvl w:ilvl="2" w:tplc="BCA2078E">
      <w:start w:val="1"/>
      <w:numFmt w:val="bullet"/>
      <w:lvlText w:val="■"/>
      <w:lvlJc w:val="left"/>
      <w:pPr>
        <w:ind w:left="2160" w:hanging="360"/>
      </w:pPr>
    </w:lvl>
    <w:lvl w:ilvl="3" w:tplc="2EFE50D0">
      <w:start w:val="1"/>
      <w:numFmt w:val="bullet"/>
      <w:lvlText w:val="●"/>
      <w:lvlJc w:val="left"/>
      <w:pPr>
        <w:ind w:left="2880" w:hanging="360"/>
      </w:pPr>
    </w:lvl>
    <w:lvl w:ilvl="4" w:tplc="9A948696">
      <w:start w:val="1"/>
      <w:numFmt w:val="bullet"/>
      <w:lvlText w:val="○"/>
      <w:lvlJc w:val="left"/>
      <w:pPr>
        <w:ind w:left="3600" w:hanging="360"/>
      </w:pPr>
    </w:lvl>
    <w:lvl w:ilvl="5" w:tplc="8CF416D2">
      <w:start w:val="1"/>
      <w:numFmt w:val="bullet"/>
      <w:lvlText w:val="■"/>
      <w:lvlJc w:val="left"/>
      <w:pPr>
        <w:ind w:left="4320" w:hanging="360"/>
      </w:pPr>
    </w:lvl>
    <w:lvl w:ilvl="6" w:tplc="EB524720">
      <w:start w:val="1"/>
      <w:numFmt w:val="bullet"/>
      <w:lvlText w:val="●"/>
      <w:lvlJc w:val="left"/>
      <w:pPr>
        <w:ind w:left="5040" w:hanging="360"/>
      </w:pPr>
    </w:lvl>
    <w:lvl w:ilvl="7" w:tplc="198098CA">
      <w:start w:val="1"/>
      <w:numFmt w:val="bullet"/>
      <w:lvlText w:val="●"/>
      <w:lvlJc w:val="left"/>
      <w:pPr>
        <w:ind w:left="5760" w:hanging="360"/>
      </w:pPr>
    </w:lvl>
    <w:lvl w:ilvl="8" w:tplc="F140EE06">
      <w:start w:val="1"/>
      <w:numFmt w:val="bullet"/>
      <w:lvlText w:val="●"/>
      <w:lvlJc w:val="left"/>
      <w:pPr>
        <w:ind w:left="6480" w:hanging="360"/>
      </w:pPr>
    </w:lvl>
  </w:abstractNum>
  <w:abstractNum w:abstractNumId="3" w15:restartNumberingAfterBreak="0">
    <w:nsid w:val="30294E27"/>
    <w:multiLevelType w:val="hybridMultilevel"/>
    <w:tmpl w:val="E7C4F8DC"/>
    <w:lvl w:ilvl="0" w:tplc="A2762E34">
      <w:start w:val="1"/>
      <w:numFmt w:val="bullet"/>
      <w:lvlText w:val="◦"/>
      <w:lvlJc w:val="left"/>
      <w:pPr>
        <w:ind w:left="1080" w:hanging="360"/>
      </w:pPr>
    </w:lvl>
    <w:lvl w:ilvl="1" w:tplc="D47880C0">
      <w:numFmt w:val="decimal"/>
      <w:lvlText w:val=""/>
      <w:lvlJc w:val="left"/>
    </w:lvl>
    <w:lvl w:ilvl="2" w:tplc="D1B24644">
      <w:numFmt w:val="decimal"/>
      <w:lvlText w:val=""/>
      <w:lvlJc w:val="left"/>
    </w:lvl>
    <w:lvl w:ilvl="3" w:tplc="14E86692">
      <w:numFmt w:val="decimal"/>
      <w:lvlText w:val=""/>
      <w:lvlJc w:val="left"/>
    </w:lvl>
    <w:lvl w:ilvl="4" w:tplc="61EABBC8">
      <w:numFmt w:val="decimal"/>
      <w:lvlText w:val=""/>
      <w:lvlJc w:val="left"/>
    </w:lvl>
    <w:lvl w:ilvl="5" w:tplc="8E5CFFEE">
      <w:numFmt w:val="decimal"/>
      <w:lvlText w:val=""/>
      <w:lvlJc w:val="left"/>
    </w:lvl>
    <w:lvl w:ilvl="6" w:tplc="0F769DBE">
      <w:numFmt w:val="decimal"/>
      <w:lvlText w:val=""/>
      <w:lvlJc w:val="left"/>
    </w:lvl>
    <w:lvl w:ilvl="7" w:tplc="F3327B5C">
      <w:numFmt w:val="decimal"/>
      <w:lvlText w:val=""/>
      <w:lvlJc w:val="left"/>
    </w:lvl>
    <w:lvl w:ilvl="8" w:tplc="16868A52">
      <w:numFmt w:val="decimal"/>
      <w:lvlText w:val=""/>
      <w:lvlJc w:val="left"/>
    </w:lvl>
  </w:abstractNum>
  <w:num w:numId="1" w16cid:durableId="1829052288">
    <w:abstractNumId w:val="2"/>
    <w:lvlOverride w:ilvl="0">
      <w:startOverride w:val="1"/>
    </w:lvlOverride>
  </w:num>
  <w:num w:numId="2" w16cid:durableId="18038132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57"/>
    <w:rsid w:val="00072C8D"/>
    <w:rsid w:val="00C21A57"/>
    <w:rsid w:val="00C74DBF"/>
    <w:rsid w:val="00DD213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3EF737F"/>
  <w15:docId w15:val="{6C917899-BBA7-6E41-B055-D3CB54C8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20"/>
      <w:outlineLvl w:val="0"/>
    </w:pPr>
    <w:rPr>
      <w:rFonts w:eastAsia="Arial"/>
      <w:b/>
      <w:bCs/>
      <w:color w:val="1F3864"/>
      <w:sz w:val="32"/>
      <w:szCs w:val="32"/>
    </w:rPr>
  </w:style>
  <w:style w:type="paragraph" w:styleId="2">
    <w:name w:val="heading 2"/>
    <w:uiPriority w:val="9"/>
    <w:unhideWhenUsed/>
    <w:qFormat/>
    <w:pPr>
      <w:spacing w:before="280" w:after="80"/>
      <w:outlineLvl w:val="1"/>
    </w:pPr>
    <w:rPr>
      <w:rFonts w:eastAsia="Arial"/>
      <w:b/>
      <w:bCs/>
      <w:color w:val="2E75B6"/>
      <w:sz w:val="26"/>
      <w:szCs w:val="26"/>
    </w:rPr>
  </w:style>
  <w:style w:type="paragraph" w:styleId="3">
    <w:name w:val="heading 3"/>
    <w:uiPriority w:val="9"/>
    <w:unhideWhenUsed/>
    <w:qFormat/>
    <w:pPr>
      <w:spacing w:before="200" w:after="60"/>
      <w:outlineLvl w:val="2"/>
    </w:pPr>
    <w:rPr>
      <w:rFonts w:eastAsia="Arial"/>
      <w:b/>
      <w:bCs/>
      <w:color w:val="44444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2610</Words>
  <Characters>14877</Characters>
  <Application>Microsoft Office Word</Application>
  <DocSecurity>0</DocSecurity>
  <Lines>123</Lines>
  <Paragraphs>34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Dahye</cp:lastModifiedBy>
  <cp:revision>2</cp:revision>
  <dcterms:created xsi:type="dcterms:W3CDTF">2026-04-01T14:56:00Z</dcterms:created>
  <dcterms:modified xsi:type="dcterms:W3CDTF">2026-04-01T15:21:00Z</dcterms:modified>
</cp:coreProperties>
</file>