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39F" w:rsidRDefault="00DE4E49" w:rsidP="003A739F">
      <w:pPr>
        <w:rPr>
          <w:rFonts w:ascii="Times New Roman" w:hAnsi="Times New Roman" w:cs="Times New Roman"/>
          <w:sz w:val="28"/>
          <w:szCs w:val="28"/>
        </w:rPr>
      </w:pPr>
      <w:r>
        <w:rPr>
          <w:rFonts w:ascii="Times New Roman" w:hAnsi="Times New Roman" w:cs="Times New Roman"/>
          <w:sz w:val="28"/>
          <w:szCs w:val="28"/>
        </w:rPr>
        <w:t>M</w:t>
      </w:r>
      <w:r>
        <w:rPr>
          <w:rFonts w:ascii="Times New Roman" w:hAnsi="Times New Roman" w:cs="Times New Roman" w:hint="eastAsia"/>
          <w:sz w:val="28"/>
          <w:szCs w:val="28"/>
        </w:rPr>
        <w:t>ulti</w:t>
      </w:r>
      <w:r>
        <w:rPr>
          <w:rFonts w:ascii="Times New Roman" w:hAnsi="Times New Roman" w:cs="Times New Roman"/>
          <w:sz w:val="28"/>
          <w:szCs w:val="28"/>
        </w:rPr>
        <w:t>dimensional analysis of diffusion</w:t>
      </w:r>
      <w:r w:rsidR="00EE3568">
        <w:rPr>
          <w:rFonts w:ascii="Times New Roman" w:hAnsi="Times New Roman" w:cs="Times New Roman"/>
          <w:sz w:val="28"/>
          <w:szCs w:val="28"/>
        </w:rPr>
        <w:t xml:space="preserve"> MRI to classify</w:t>
      </w:r>
      <w:r w:rsidR="00730FBF">
        <w:rPr>
          <w:rFonts w:ascii="Times New Roman" w:hAnsi="Times New Roman" w:cs="Times New Roman"/>
          <w:sz w:val="28"/>
          <w:szCs w:val="28"/>
        </w:rPr>
        <w:t xml:space="preserve"> prostate cancer at </w:t>
      </w:r>
      <w:r w:rsidR="00730FBF" w:rsidRPr="003A739F">
        <w:rPr>
          <w:rFonts w:ascii="Times New Roman" w:hAnsi="Times New Roman" w:cs="Times New Roman"/>
          <w:sz w:val="28"/>
          <w:szCs w:val="28"/>
          <w:vertAlign w:val="superscript"/>
        </w:rPr>
        <w:t>68</w:t>
      </w:r>
      <w:r w:rsidR="00730FBF">
        <w:rPr>
          <w:rFonts w:ascii="Times New Roman" w:hAnsi="Times New Roman" w:cs="Times New Roman"/>
          <w:sz w:val="28"/>
          <w:szCs w:val="28"/>
        </w:rPr>
        <w:t>Ga-PSMA-11 PET-MR</w:t>
      </w:r>
    </w:p>
    <w:p w:rsidR="00D71662" w:rsidRPr="00EE3568" w:rsidRDefault="00D71662" w:rsidP="00D71662"/>
    <w:p w:rsidR="00D71662" w:rsidRDefault="00D71662" w:rsidP="00D71662">
      <w:pPr>
        <w:rPr>
          <w:rFonts w:ascii="Times New Roman" w:hAnsi="Times New Roman" w:cs="Times New Roman"/>
        </w:rPr>
      </w:pPr>
      <w:r>
        <w:rPr>
          <w:rFonts w:ascii="Times New Roman" w:hAnsi="Times New Roman" w:cs="Times New Roman" w:hint="cs"/>
        </w:rPr>
        <w:t>B</w:t>
      </w:r>
      <w:r>
        <w:rPr>
          <w:rFonts w:ascii="Times New Roman" w:hAnsi="Times New Roman" w:cs="Times New Roman"/>
        </w:rPr>
        <w:t>ackground:</w:t>
      </w:r>
    </w:p>
    <w:p w:rsidR="00AF636F" w:rsidRDefault="00E3270D" w:rsidP="00E3270D">
      <w:pPr>
        <w:pStyle w:val="a3"/>
        <w:numPr>
          <w:ilvl w:val="0"/>
          <w:numId w:val="1"/>
        </w:numPr>
        <w:ind w:firstLineChars="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rostate cancer is the most common cancer in men worldwide</w:t>
      </w:r>
      <w:r w:rsidR="00AF636F">
        <w:rPr>
          <w:rFonts w:ascii="Times New Roman" w:hAnsi="Times New Roman" w:cs="Times New Roman" w:hint="eastAsia"/>
        </w:rPr>
        <w:t>.</w:t>
      </w:r>
      <w:r w:rsidR="00AF636F">
        <w:rPr>
          <w:rFonts w:ascii="Times New Roman" w:hAnsi="Times New Roman" w:cs="Times New Roman"/>
        </w:rPr>
        <w:t xml:space="preserve"> Initial screening and diagnosis relies on. Initial screening and diagnosis relies on the digital rectal examination, serum prostate-specific antigen (PSA) testing, and </w:t>
      </w:r>
      <w:proofErr w:type="spellStart"/>
      <w:r w:rsidR="00AF636F">
        <w:rPr>
          <w:rFonts w:ascii="Times New Roman" w:hAnsi="Times New Roman" w:cs="Times New Roman"/>
        </w:rPr>
        <w:t>transrectal</w:t>
      </w:r>
      <w:proofErr w:type="spellEnd"/>
      <w:r w:rsidR="00AF636F">
        <w:rPr>
          <w:rFonts w:ascii="Times New Roman" w:hAnsi="Times New Roman" w:cs="Times New Roman"/>
        </w:rPr>
        <w:t xml:space="preserve"> ultrasonography (US)-guided biopsies. </w:t>
      </w:r>
    </w:p>
    <w:p w:rsidR="00D71662" w:rsidRDefault="00AF636F" w:rsidP="00E3270D">
      <w:pPr>
        <w:pStyle w:val="a3"/>
        <w:numPr>
          <w:ilvl w:val="0"/>
          <w:numId w:val="1"/>
        </w:numPr>
        <w:ind w:firstLineChars="0"/>
        <w:rPr>
          <w:rFonts w:ascii="Times New Roman" w:hAnsi="Times New Roman" w:cs="Times New Roman"/>
        </w:rPr>
      </w:pPr>
      <w:r>
        <w:rPr>
          <w:rFonts w:ascii="Times New Roman" w:hAnsi="Times New Roman" w:cs="Times New Roman"/>
        </w:rPr>
        <w:t>Significance of grading: Depending on cancer stage and grade, treatment may involve observation, surgery (prostatectomy), radiation therapy (external beam or brachytherapy), hormonal therapy, chemotherapy, or a combination of these.</w:t>
      </w:r>
    </w:p>
    <w:p w:rsidR="00733731" w:rsidRPr="003E1E28" w:rsidRDefault="00733731" w:rsidP="003E1E28">
      <w:pPr>
        <w:pStyle w:val="a3"/>
        <w:numPr>
          <w:ilvl w:val="0"/>
          <w:numId w:val="1"/>
        </w:numPr>
        <w:ind w:firstLineChars="0"/>
        <w:rPr>
          <w:rFonts w:ascii="Times New Roman" w:hAnsi="Times New Roman" w:cs="Times New Roman"/>
        </w:rPr>
      </w:pPr>
      <w:r w:rsidRPr="003E1E28">
        <w:rPr>
          <w:rFonts w:ascii="Times New Roman" w:hAnsi="Times New Roman" w:cs="Times New Roman"/>
        </w:rPr>
        <w:t xml:space="preserve">At present, the imaging modality to choice for the </w:t>
      </w:r>
      <w:r w:rsidR="003E1E28" w:rsidRPr="003E1E28">
        <w:rPr>
          <w:rFonts w:ascii="Times New Roman" w:hAnsi="Times New Roman" w:cs="Times New Roman"/>
        </w:rPr>
        <w:t>detection of prostate cancer is multi-parametric</w:t>
      </w:r>
      <w:r w:rsidR="003E1E28">
        <w:rPr>
          <w:rFonts w:ascii="Times New Roman" w:hAnsi="Times New Roman" w:cs="Times New Roman"/>
        </w:rPr>
        <w:t xml:space="preserve"> magnetic resonance imaging.</w:t>
      </w:r>
      <w:r w:rsidR="003E1E28" w:rsidRPr="003E1E28">
        <w:rPr>
          <w:rFonts w:ascii="Times New Roman" w:hAnsi="Times New Roman" w:cs="Times New Roman"/>
        </w:rPr>
        <w:t xml:space="preserve"> </w:t>
      </w:r>
      <w:r w:rsidR="003E1E28">
        <w:rPr>
          <w:rFonts w:ascii="Times New Roman" w:hAnsi="Times New Roman" w:cs="Times New Roman"/>
        </w:rPr>
        <w:t>Diffusion MRI (ADC\IVIM\DKI\FROC) are able to improve the diagnostic performance.</w:t>
      </w:r>
    </w:p>
    <w:p w:rsidR="00D20C01" w:rsidRDefault="00D20C01" w:rsidP="00E3270D">
      <w:pPr>
        <w:pStyle w:val="a3"/>
        <w:numPr>
          <w:ilvl w:val="0"/>
          <w:numId w:val="1"/>
        </w:numPr>
        <w:ind w:firstLineChars="0"/>
        <w:rPr>
          <w:rFonts w:ascii="Times New Roman" w:hAnsi="Times New Roman" w:cs="Times New Roman"/>
        </w:rPr>
      </w:pPr>
      <w:r>
        <w:rPr>
          <w:rFonts w:ascii="Times New Roman" w:hAnsi="Times New Roman" w:cs="Times New Roman"/>
        </w:rPr>
        <w:t>Pitfal</w:t>
      </w:r>
      <w:r w:rsidR="00733731">
        <w:rPr>
          <w:rFonts w:ascii="Times New Roman" w:hAnsi="Times New Roman" w:cs="Times New Roman"/>
        </w:rPr>
        <w:t>ls of using traditional imaging method.</w:t>
      </w:r>
    </w:p>
    <w:p w:rsidR="00733731" w:rsidRPr="00733731" w:rsidRDefault="00733731" w:rsidP="00733731">
      <w:pPr>
        <w:pStyle w:val="a3"/>
        <w:ind w:left="360" w:firstLineChars="0" w:firstLine="0"/>
        <w:rPr>
          <w:rFonts w:ascii="Times New Roman" w:hAnsi="Times New Roman" w:cs="Times New Roman"/>
        </w:rPr>
      </w:pPr>
      <w:r>
        <w:rPr>
          <w:rFonts w:ascii="Times New Roman" w:hAnsi="Times New Roman" w:cs="Times New Roman"/>
        </w:rPr>
        <w:t>MR imaging</w:t>
      </w:r>
      <w:r w:rsidR="003E1E28">
        <w:rPr>
          <w:rFonts w:ascii="Times New Roman" w:hAnsi="Times New Roman" w:cs="Times New Roman"/>
        </w:rPr>
        <w:t>, CT and</w:t>
      </w:r>
      <w:r>
        <w:rPr>
          <w:rFonts w:ascii="Times New Roman" w:hAnsi="Times New Roman" w:cs="Times New Roman"/>
        </w:rPr>
        <w:t xml:space="preserve"> bone scanning have limited accuracy in depicting retroperitoneal small lymph node metastases that do not trigger size criteria at CT and MR imaging and small-volume bone metastases. </w:t>
      </w:r>
    </w:p>
    <w:p w:rsidR="00D20C01" w:rsidRPr="003E1E28" w:rsidRDefault="003E1E28" w:rsidP="003E1E28">
      <w:pPr>
        <w:pStyle w:val="a3"/>
        <w:numPr>
          <w:ilvl w:val="0"/>
          <w:numId w:val="1"/>
        </w:numPr>
        <w:ind w:firstLineChars="0"/>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 xml:space="preserve">olecular imaging has great potential to improve prostate cancer staging. </w:t>
      </w:r>
      <w:r w:rsidR="00D20C01" w:rsidRPr="003E1E28">
        <w:rPr>
          <w:rFonts w:ascii="Times New Roman" w:hAnsi="Times New Roman" w:cs="Times New Roman"/>
        </w:rPr>
        <w:t>Prostate-specific membrane antigen (PSMA) is a membrane glycoprotein that is overexpressed on prostate cancer cells</w:t>
      </w:r>
      <w:r w:rsidR="00EE3568" w:rsidRPr="003E1E28">
        <w:rPr>
          <w:rFonts w:ascii="Times New Roman" w:hAnsi="Times New Roman" w:cs="Times New Roman"/>
        </w:rPr>
        <w:t>.</w:t>
      </w:r>
    </w:p>
    <w:p w:rsidR="00D20C01" w:rsidRDefault="00D20C01" w:rsidP="00E3270D">
      <w:pPr>
        <w:pStyle w:val="a3"/>
        <w:numPr>
          <w:ilvl w:val="0"/>
          <w:numId w:val="1"/>
        </w:numPr>
        <w:ind w:firstLineChars="0"/>
        <w:rPr>
          <w:rFonts w:ascii="Times New Roman" w:hAnsi="Times New Roman" w:cs="Times New Roman"/>
        </w:rPr>
      </w:pPr>
      <w:r>
        <w:rPr>
          <w:rFonts w:ascii="Times New Roman" w:hAnsi="Times New Roman" w:cs="Times New Roman"/>
        </w:rPr>
        <w:t>PSMA-11 PET/MR hybrid imaging enables the simultaneous correlation of PET and MR quantitative metrics such as standardized uptake value (SUV) and apparent diffusion coefficient (ADC) as both studies are co-registered</w:t>
      </w:r>
      <w:r w:rsidR="00EE3568">
        <w:rPr>
          <w:rFonts w:ascii="Times New Roman" w:hAnsi="Times New Roman" w:cs="Times New Roman"/>
        </w:rPr>
        <w:t>.</w:t>
      </w:r>
    </w:p>
    <w:p w:rsidR="003E1E28" w:rsidRDefault="00D20C01" w:rsidP="00E3270D">
      <w:pPr>
        <w:pStyle w:val="a3"/>
        <w:numPr>
          <w:ilvl w:val="0"/>
          <w:numId w:val="1"/>
        </w:numPr>
        <w:ind w:firstLineChars="0"/>
        <w:rPr>
          <w:rFonts w:ascii="Times New Roman" w:hAnsi="Times New Roman" w:cs="Times New Roman"/>
        </w:rPr>
      </w:pPr>
      <w:r>
        <w:rPr>
          <w:rFonts w:ascii="Times New Roman" w:hAnsi="Times New Roman" w:cs="Times New Roman"/>
        </w:rPr>
        <w:t>The aim of this study</w:t>
      </w:r>
      <w:r w:rsidR="003E1E28">
        <w:rPr>
          <w:rFonts w:ascii="Times New Roman" w:hAnsi="Times New Roman" w:cs="Times New Roman"/>
        </w:rPr>
        <w:t xml:space="preserve"> is to determine the relationship between </w:t>
      </w:r>
      <w:proofErr w:type="spellStart"/>
      <w:r w:rsidR="003E1E28">
        <w:rPr>
          <w:rFonts w:ascii="Times New Roman" w:hAnsi="Times New Roman" w:cs="Times New Roman"/>
        </w:rPr>
        <w:t>SUVmax</w:t>
      </w:r>
      <w:proofErr w:type="spellEnd"/>
      <w:r w:rsidR="003E1E28">
        <w:rPr>
          <w:rFonts w:ascii="Times New Roman" w:hAnsi="Times New Roman" w:cs="Times New Roman"/>
        </w:rPr>
        <w:t xml:space="preserve"> and parameters derived from different diffusion model and differentiate patients with intermediate-ris</w:t>
      </w:r>
      <w:r w:rsidR="00120C27">
        <w:rPr>
          <w:rFonts w:ascii="Times New Roman" w:hAnsi="Times New Roman" w:cs="Times New Roman"/>
        </w:rPr>
        <w:t xml:space="preserve">k or high-risk </w:t>
      </w:r>
      <w:r w:rsidR="003E1E28">
        <w:rPr>
          <w:rFonts w:ascii="Times New Roman" w:hAnsi="Times New Roman" w:cs="Times New Roman"/>
        </w:rPr>
        <w:t>cancer.</w:t>
      </w:r>
    </w:p>
    <w:p w:rsidR="00EE3568" w:rsidRDefault="00EE3568" w:rsidP="00EE3568">
      <w:pPr>
        <w:rPr>
          <w:rFonts w:ascii="Times New Roman" w:hAnsi="Times New Roman" w:cs="Times New Roman" w:hint="eastAsia"/>
        </w:rPr>
      </w:pPr>
    </w:p>
    <w:p w:rsidR="00EE3568" w:rsidRDefault="00EE3568" w:rsidP="00EE3568">
      <w:pP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ethod:</w:t>
      </w:r>
    </w:p>
    <w:p w:rsidR="00120C27" w:rsidRPr="00120C27" w:rsidRDefault="00120C27" w:rsidP="00EE3568">
      <w:pPr>
        <w:rPr>
          <w:rFonts w:ascii="Times New Roman" w:hAnsi="Times New Roman" w:cs="Times New Roman"/>
          <w:b/>
        </w:rPr>
      </w:pPr>
      <w:r w:rsidRPr="00120C27">
        <w:rPr>
          <w:rFonts w:ascii="Times New Roman" w:hAnsi="Times New Roman" w:cs="Times New Roman"/>
          <w:b/>
        </w:rPr>
        <w:t>PCA (diffusion modal, normalized data</w:t>
      </w:r>
      <w:proofErr w:type="gramStart"/>
      <w:r w:rsidRPr="00120C27">
        <w:rPr>
          <w:rFonts w:ascii="Times New Roman" w:hAnsi="Times New Roman" w:cs="Times New Roman"/>
          <w:b/>
        </w:rPr>
        <w:t>)-</w:t>
      </w:r>
      <w:proofErr w:type="gramEnd"/>
      <w:r w:rsidRPr="00120C27">
        <w:rPr>
          <w:rFonts w:ascii="Times New Roman" w:hAnsi="Times New Roman" w:cs="Times New Roman"/>
          <w:b/>
        </w:rPr>
        <w:t xml:space="preserve">&gt;PCA validation-&gt;spearman correlation table (parameters </w:t>
      </w:r>
      <w:proofErr w:type="spellStart"/>
      <w:r w:rsidRPr="00120C27">
        <w:rPr>
          <w:rFonts w:ascii="Times New Roman" w:hAnsi="Times New Roman" w:cs="Times New Roman"/>
          <w:b/>
        </w:rPr>
        <w:t>v.s</w:t>
      </w:r>
      <w:proofErr w:type="spellEnd"/>
      <w:r w:rsidRPr="00120C27">
        <w:rPr>
          <w:rFonts w:ascii="Times New Roman" w:hAnsi="Times New Roman" w:cs="Times New Roman"/>
          <w:b/>
        </w:rPr>
        <w:t xml:space="preserve">. </w:t>
      </w:r>
      <w:proofErr w:type="spellStart"/>
      <w:r w:rsidRPr="00120C27">
        <w:rPr>
          <w:rFonts w:ascii="Times New Roman" w:hAnsi="Times New Roman" w:cs="Times New Roman"/>
          <w:b/>
        </w:rPr>
        <w:t>SUVmax</w:t>
      </w:r>
      <w:proofErr w:type="spellEnd"/>
      <w:r w:rsidRPr="00120C27">
        <w:rPr>
          <w:rFonts w:ascii="Times New Roman" w:hAnsi="Times New Roman" w:cs="Times New Roman"/>
          <w:b/>
        </w:rPr>
        <w:t>) -&gt;Contour plot (PC1 V.S SUV, PC2 V.S. SUV) -&gt;Predictive ROC, Gleason score (prognosis)</w:t>
      </w:r>
    </w:p>
    <w:p w:rsidR="00EE3568" w:rsidRDefault="00EE3568" w:rsidP="00EE3568">
      <w:pPr>
        <w:pStyle w:val="a3"/>
        <w:numPr>
          <w:ilvl w:val="0"/>
          <w:numId w:val="2"/>
        </w:numPr>
        <w:ind w:firstLineChars="0"/>
        <w:rPr>
          <w:rFonts w:ascii="Times New Roman" w:hAnsi="Times New Roman" w:cs="Times New Roman"/>
        </w:rPr>
      </w:pPr>
      <w:r>
        <w:rPr>
          <w:rFonts w:ascii="Times New Roman" w:hAnsi="Times New Roman" w:cs="Times New Roman" w:hint="eastAsia"/>
        </w:rPr>
        <w:t>P</w:t>
      </w:r>
      <w:r w:rsidR="00120C27">
        <w:rPr>
          <w:rFonts w:ascii="Times New Roman" w:hAnsi="Times New Roman" w:cs="Times New Roman"/>
        </w:rPr>
        <w:t>atients: 5</w:t>
      </w:r>
      <w:r>
        <w:rPr>
          <w:rFonts w:ascii="Times New Roman" w:hAnsi="Times New Roman" w:cs="Times New Roman"/>
        </w:rPr>
        <w:t>0 patients. Patients were included in the study if they presented for initial evaluation of histologically proven prostate cancer prior to any treatment. PSA&gt;4ng/ml, Gleason s</w:t>
      </w:r>
      <w:r w:rsidR="00120C27">
        <w:rPr>
          <w:rFonts w:ascii="Times New Roman" w:hAnsi="Times New Roman" w:cs="Times New Roman"/>
        </w:rPr>
        <w:t>core (GS) = [5</w:t>
      </w:r>
      <w:proofErr w:type="gramStart"/>
      <w:r w:rsidR="00120C27">
        <w:rPr>
          <w:rFonts w:ascii="Times New Roman" w:hAnsi="Times New Roman" w:cs="Times New Roman"/>
        </w:rPr>
        <w:t>,10</w:t>
      </w:r>
      <w:proofErr w:type="gramEnd"/>
      <w:r w:rsidR="00120C27">
        <w:rPr>
          <w:rFonts w:ascii="Times New Roman" w:hAnsi="Times New Roman" w:cs="Times New Roman"/>
        </w:rPr>
        <w:t xml:space="preserve">]. Scan time: </w:t>
      </w:r>
      <w:r w:rsidR="0019020B">
        <w:rPr>
          <w:rFonts w:ascii="Times New Roman" w:hAnsi="Times New Roman" w:cs="Times New Roman"/>
        </w:rPr>
        <w:t xml:space="preserve">60-70 </w:t>
      </w:r>
      <w:r>
        <w:rPr>
          <w:rFonts w:ascii="Times New Roman" w:hAnsi="Times New Roman" w:cs="Times New Roman"/>
        </w:rPr>
        <w:t>minutes after injection.</w:t>
      </w:r>
      <w:r w:rsidR="001662A9">
        <w:rPr>
          <w:rFonts w:ascii="Times New Roman" w:hAnsi="Times New Roman" w:cs="Times New Roman"/>
        </w:rPr>
        <w:t xml:space="preserve"> [</w:t>
      </w:r>
      <w:r w:rsidR="0032285B">
        <w:rPr>
          <w:rFonts w:ascii="Times New Roman" w:hAnsi="Times New Roman" w:cs="Times New Roman"/>
        </w:rPr>
        <w:t>A</w:t>
      </w:r>
      <w:r w:rsidR="0032285B">
        <w:rPr>
          <w:rFonts w:ascii="Times New Roman" w:hAnsi="Times New Roman" w:cs="Times New Roman" w:hint="eastAsia"/>
        </w:rPr>
        <w:t>dd</w:t>
      </w:r>
      <w:r w:rsidR="0032285B">
        <w:rPr>
          <w:rFonts w:ascii="Times New Roman" w:hAnsi="Times New Roman" w:cs="Times New Roman"/>
        </w:rPr>
        <w:t xml:space="preserve">: </w:t>
      </w:r>
      <w:r w:rsidR="001662A9">
        <w:rPr>
          <w:rFonts w:ascii="Times New Roman" w:hAnsi="Times New Roman" w:cs="Times New Roman"/>
        </w:rPr>
        <w:t>PI-RADS</w:t>
      </w:r>
      <w:r w:rsidR="001662A9">
        <w:rPr>
          <w:rFonts w:ascii="Times New Roman" w:hAnsi="Times New Roman" w:cs="Times New Roman" w:hint="eastAsia"/>
        </w:rPr>
        <w:t>≥</w:t>
      </w:r>
      <w:r w:rsidR="001662A9">
        <w:rPr>
          <w:rFonts w:ascii="Times New Roman" w:hAnsi="Times New Roman" w:cs="Times New Roman"/>
        </w:rPr>
        <w:t>4]</w:t>
      </w:r>
    </w:p>
    <w:p w:rsidR="00B5223C" w:rsidRPr="00B5223C" w:rsidRDefault="0019020B" w:rsidP="00B5223C">
      <w:pPr>
        <w:pStyle w:val="a3"/>
        <w:numPr>
          <w:ilvl w:val="0"/>
          <w:numId w:val="2"/>
        </w:numPr>
        <w:ind w:firstLineChars="0"/>
        <w:rPr>
          <w:rFonts w:ascii="Times New Roman" w:hAnsi="Times New Roman" w:cs="Times New Roman" w:hint="eastAsia"/>
        </w:rPr>
      </w:pPr>
      <w:r>
        <w:rPr>
          <w:rFonts w:ascii="Times New Roman" w:hAnsi="Times New Roman" w:cs="Times New Roman"/>
        </w:rPr>
        <w:t>Preparation of</w:t>
      </w:r>
      <w:r w:rsidRPr="0019020B">
        <w:rPr>
          <w:rFonts w:ascii="Times New Roman" w:hAnsi="Times New Roman" w:cs="Times New Roman"/>
          <w:vertAlign w:val="superscript"/>
        </w:rPr>
        <w:t xml:space="preserve"> 68</w:t>
      </w:r>
      <w:r>
        <w:rPr>
          <w:rFonts w:ascii="Times New Roman" w:hAnsi="Times New Roman" w:cs="Times New Roman"/>
        </w:rPr>
        <w:t>Ga-PSMA-11</w:t>
      </w:r>
    </w:p>
    <w:p w:rsidR="00EE3568" w:rsidRDefault="0065260C" w:rsidP="00EE3568">
      <w:pPr>
        <w:pStyle w:val="a3"/>
        <w:numPr>
          <w:ilvl w:val="0"/>
          <w:numId w:val="2"/>
        </w:numPr>
        <w:ind w:firstLineChars="0"/>
        <w:rPr>
          <w:rFonts w:ascii="Times New Roman" w:hAnsi="Times New Roman" w:cs="Times New Roman"/>
        </w:rPr>
      </w:pPr>
      <w:r>
        <w:rPr>
          <w:rFonts w:ascii="Times New Roman" w:hAnsi="Times New Roman" w:cs="Times New Roman"/>
        </w:rPr>
        <w:t xml:space="preserve">PSMA PET/MR protocol. </w:t>
      </w:r>
    </w:p>
    <w:p w:rsidR="00B5223C" w:rsidRDefault="00B5223C" w:rsidP="00B5223C">
      <w:pPr>
        <w:pStyle w:val="a3"/>
        <w:ind w:left="360" w:firstLineChars="0" w:firstLine="0"/>
        <w:rPr>
          <w:rFonts w:ascii="Times New Roman" w:hAnsi="Times New Roman" w:cs="Times New Roman"/>
        </w:rPr>
      </w:pPr>
      <w:r>
        <w:rPr>
          <w:rFonts w:ascii="Times New Roman" w:hAnsi="Times New Roman" w:cs="Times New Roman"/>
        </w:rPr>
        <w:t xml:space="preserve">T1\T2 FSE </w:t>
      </w:r>
      <w:proofErr w:type="spellStart"/>
      <w:r>
        <w:rPr>
          <w:rFonts w:ascii="Times New Roman" w:hAnsi="Times New Roman" w:cs="Times New Roman"/>
        </w:rPr>
        <w:t>highres</w:t>
      </w:r>
      <w:proofErr w:type="spellEnd"/>
      <w:r>
        <w:rPr>
          <w:rFonts w:ascii="Times New Roman" w:hAnsi="Times New Roman" w:cs="Times New Roman"/>
        </w:rPr>
        <w:t>\T2 FSE fs\FROC</w:t>
      </w:r>
    </w:p>
    <w:p w:rsidR="00EE3568" w:rsidRDefault="00EE3568" w:rsidP="00EE3568">
      <w:pPr>
        <w:pStyle w:val="a3"/>
        <w:numPr>
          <w:ilvl w:val="0"/>
          <w:numId w:val="2"/>
        </w:numPr>
        <w:ind w:firstLineChars="0"/>
        <w:rPr>
          <w:rFonts w:ascii="Times New Roman" w:hAnsi="Times New Roman" w:cs="Times New Roman"/>
        </w:rPr>
      </w:pPr>
      <w:r>
        <w:rPr>
          <w:rFonts w:ascii="Times New Roman" w:hAnsi="Times New Roman" w:cs="Times New Roman"/>
        </w:rPr>
        <w:t>PSMA PET/CT protocol</w:t>
      </w:r>
      <w:r w:rsidR="00B5223C">
        <w:rPr>
          <w:rFonts w:ascii="Times New Roman" w:hAnsi="Times New Roman" w:cs="Times New Roman"/>
        </w:rPr>
        <w:t xml:space="preserve"> (option)</w:t>
      </w:r>
    </w:p>
    <w:p w:rsidR="00B5223C" w:rsidRPr="00B5223C" w:rsidRDefault="00EE3568" w:rsidP="00B5223C">
      <w:pPr>
        <w:pStyle w:val="a3"/>
        <w:numPr>
          <w:ilvl w:val="0"/>
          <w:numId w:val="2"/>
        </w:numPr>
        <w:ind w:firstLineChars="0"/>
        <w:rPr>
          <w:rFonts w:ascii="Times New Roman" w:hAnsi="Times New Roman" w:cs="Times New Roman" w:hint="eastAsia"/>
        </w:rPr>
      </w:pPr>
      <w:r w:rsidRPr="00EE3568">
        <w:rPr>
          <w:rFonts w:ascii="Times New Roman" w:hAnsi="Times New Roman" w:cs="Times New Roman"/>
        </w:rPr>
        <w:t xml:space="preserve">Image analysis. PET images were reviewed in correlation with MR imaging images for identification of focal </w:t>
      </w:r>
      <w:r w:rsidRPr="00EE3568">
        <w:rPr>
          <w:rFonts w:ascii="Times New Roman" w:hAnsi="Times New Roman" w:cs="Times New Roman"/>
          <w:szCs w:val="21"/>
          <w:vertAlign w:val="superscript"/>
        </w:rPr>
        <w:t>68</w:t>
      </w:r>
      <w:r w:rsidRPr="00EE3568">
        <w:rPr>
          <w:rFonts w:ascii="Times New Roman" w:hAnsi="Times New Roman" w:cs="Times New Roman"/>
          <w:szCs w:val="21"/>
        </w:rPr>
        <w:t>Ga-PSMA-11 uptake withi</w:t>
      </w:r>
      <w:r>
        <w:rPr>
          <w:rFonts w:ascii="Times New Roman" w:hAnsi="Times New Roman" w:cs="Times New Roman"/>
          <w:szCs w:val="21"/>
        </w:rPr>
        <w:t xml:space="preserve">n the prostate. </w:t>
      </w:r>
      <w:proofErr w:type="spellStart"/>
      <w:r>
        <w:rPr>
          <w:rFonts w:ascii="Times New Roman" w:hAnsi="Times New Roman" w:cs="Times New Roman"/>
          <w:szCs w:val="21"/>
        </w:rPr>
        <w:t>SUVmax</w:t>
      </w:r>
      <w:proofErr w:type="spellEnd"/>
      <w:r>
        <w:rPr>
          <w:rFonts w:ascii="Times New Roman" w:hAnsi="Times New Roman" w:cs="Times New Roman"/>
          <w:szCs w:val="21"/>
        </w:rPr>
        <w:t xml:space="preserve"> were recorded. The MR images (</w:t>
      </w:r>
      <w:proofErr w:type="spellStart"/>
      <w:r>
        <w:rPr>
          <w:rFonts w:ascii="Times New Roman" w:hAnsi="Times New Roman" w:cs="Times New Roman"/>
          <w:szCs w:val="21"/>
        </w:rPr>
        <w:t>multiparametr</w:t>
      </w:r>
      <w:r w:rsidR="00B5223C">
        <w:rPr>
          <w:rFonts w:ascii="Times New Roman" w:hAnsi="Times New Roman" w:cs="Times New Roman"/>
          <w:szCs w:val="21"/>
        </w:rPr>
        <w:t>ic</w:t>
      </w:r>
      <w:proofErr w:type="spellEnd"/>
      <w:r w:rsidR="00B5223C">
        <w:rPr>
          <w:rFonts w:ascii="Times New Roman" w:hAnsi="Times New Roman" w:cs="Times New Roman"/>
          <w:szCs w:val="21"/>
        </w:rPr>
        <w:t>, including DW imaging</w:t>
      </w:r>
      <w:r>
        <w:rPr>
          <w:rFonts w:ascii="Times New Roman" w:hAnsi="Times New Roman" w:cs="Times New Roman"/>
          <w:szCs w:val="21"/>
        </w:rPr>
        <w:t xml:space="preserve">) were analyzed preoperatively, blinded to the PET/MR imaging results by radiologists specializing in body MR imaging. </w:t>
      </w:r>
    </w:p>
    <w:p w:rsidR="00B5223C" w:rsidRPr="00B5223C" w:rsidRDefault="00EE3568" w:rsidP="00B5223C">
      <w:pPr>
        <w:pStyle w:val="a3"/>
        <w:ind w:left="360" w:firstLineChars="0" w:firstLine="0"/>
        <w:rPr>
          <w:rFonts w:ascii="Times New Roman" w:hAnsi="Times New Roman" w:cs="Times New Roman" w:hint="eastAsia"/>
          <w:szCs w:val="21"/>
        </w:rPr>
      </w:pPr>
      <w:r>
        <w:rPr>
          <w:rFonts w:ascii="Times New Roman" w:hAnsi="Times New Roman" w:cs="Times New Roman"/>
          <w:szCs w:val="21"/>
        </w:rPr>
        <w:lastRenderedPageBreak/>
        <w:t>R</w:t>
      </w:r>
      <w:r w:rsidR="00B5223C">
        <w:rPr>
          <w:rFonts w:ascii="Times New Roman" w:hAnsi="Times New Roman" w:cs="Times New Roman"/>
          <w:szCs w:val="21"/>
        </w:rPr>
        <w:t>OI: Cancer lesion size was evaluated on the axial, sagittal and coronal FROC sequence planes and was reported on the largest single dimension. Then the maximal spherical ROI was manually drawn on the selected plane and parameters were calculated. The spherical ROI was copied and applied onto the PET images and lesion SUV max was determined.</w:t>
      </w:r>
    </w:p>
    <w:p w:rsidR="00B5223C" w:rsidRDefault="00C8018A" w:rsidP="00EE3568">
      <w:pPr>
        <w:pStyle w:val="a3"/>
        <w:ind w:left="360" w:firstLineChars="0" w:firstLine="0"/>
        <w:rPr>
          <w:rFonts w:ascii="Times New Roman" w:hAnsi="Times New Roman" w:cs="Times New Roman"/>
          <w:szCs w:val="21"/>
        </w:rPr>
      </w:pPr>
      <w:r>
        <w:rPr>
          <w:rFonts w:ascii="Times New Roman" w:hAnsi="Times New Roman" w:cs="Times New Roman" w:hint="eastAsia"/>
          <w:szCs w:val="21"/>
        </w:rPr>
        <w:t>R</w:t>
      </w:r>
      <w:r>
        <w:rPr>
          <w:rFonts w:ascii="Times New Roman" w:hAnsi="Times New Roman" w:cs="Times New Roman"/>
          <w:szCs w:val="21"/>
        </w:rPr>
        <w:t>OI: Figure 1</w:t>
      </w:r>
    </w:p>
    <w:p w:rsidR="00C8018A" w:rsidRDefault="00C8018A" w:rsidP="00EE3568">
      <w:pPr>
        <w:pStyle w:val="a3"/>
        <w:ind w:left="360" w:firstLineChars="0" w:firstLine="0"/>
        <w:rPr>
          <w:rFonts w:ascii="Times New Roman" w:hAnsi="Times New Roman" w:cs="Times New Roman" w:hint="eastAsia"/>
          <w:szCs w:val="21"/>
        </w:rPr>
      </w:pPr>
    </w:p>
    <w:p w:rsidR="0032285B" w:rsidRPr="0032285B" w:rsidRDefault="00EE3568" w:rsidP="0032285B">
      <w:pPr>
        <w:pStyle w:val="a3"/>
        <w:numPr>
          <w:ilvl w:val="0"/>
          <w:numId w:val="2"/>
        </w:numPr>
        <w:ind w:firstLineChars="0"/>
        <w:rPr>
          <w:rFonts w:ascii="Times New Roman" w:hAnsi="Times New Roman" w:cs="Times New Roman"/>
        </w:rPr>
      </w:pPr>
      <w:r>
        <w:rPr>
          <w:rFonts w:ascii="Times New Roman" w:hAnsi="Times New Roman" w:cs="Times New Roman"/>
          <w:szCs w:val="21"/>
        </w:rPr>
        <w:t xml:space="preserve">Statistical Analysis: </w:t>
      </w:r>
    </w:p>
    <w:p w:rsidR="0032285B" w:rsidRPr="0032285B" w:rsidRDefault="00EE3568" w:rsidP="0032285B">
      <w:pPr>
        <w:pStyle w:val="a3"/>
        <w:ind w:left="360" w:firstLineChars="0" w:firstLine="0"/>
        <w:rPr>
          <w:rFonts w:ascii="Times New Roman" w:hAnsi="Times New Roman" w:cs="Times New Roman"/>
        </w:rPr>
      </w:pPr>
      <w:r>
        <w:rPr>
          <w:rFonts w:ascii="Times New Roman" w:hAnsi="Times New Roman" w:cs="Times New Roman"/>
          <w:szCs w:val="21"/>
        </w:rPr>
        <w:t>(1)</w:t>
      </w:r>
      <w:r w:rsidR="0084292B">
        <w:rPr>
          <w:rFonts w:ascii="Times New Roman" w:hAnsi="Times New Roman" w:cs="Times New Roman"/>
          <w:szCs w:val="21"/>
        </w:rPr>
        <w:t xml:space="preserve"> Bland-Altman Plot, PET/CT </w:t>
      </w:r>
      <w:proofErr w:type="spellStart"/>
      <w:r w:rsidR="0084292B">
        <w:rPr>
          <w:rFonts w:ascii="Times New Roman" w:hAnsi="Times New Roman" w:cs="Times New Roman"/>
          <w:szCs w:val="21"/>
        </w:rPr>
        <w:t>SUVmax</w:t>
      </w:r>
      <w:proofErr w:type="spellEnd"/>
      <w:r w:rsidR="0084292B">
        <w:rPr>
          <w:rFonts w:ascii="Times New Roman" w:hAnsi="Times New Roman" w:cs="Times New Roman"/>
          <w:szCs w:val="21"/>
        </w:rPr>
        <w:t xml:space="preserve"> V.S. PET-MR </w:t>
      </w:r>
      <w:proofErr w:type="spellStart"/>
      <w:r w:rsidR="0084292B">
        <w:rPr>
          <w:rFonts w:ascii="Times New Roman" w:hAnsi="Times New Roman" w:cs="Times New Roman"/>
          <w:szCs w:val="21"/>
        </w:rPr>
        <w:t>SUVmax</w:t>
      </w:r>
      <w:proofErr w:type="spellEnd"/>
      <w:r w:rsidR="00B5223C">
        <w:rPr>
          <w:rFonts w:ascii="Times New Roman" w:hAnsi="Times New Roman" w:cs="Times New Roman"/>
          <w:szCs w:val="21"/>
        </w:rPr>
        <w:t xml:space="preserve"> (option)</w:t>
      </w:r>
    </w:p>
    <w:p w:rsidR="0032285B" w:rsidRPr="0032285B" w:rsidRDefault="00B5223C" w:rsidP="0032285B">
      <w:pPr>
        <w:pStyle w:val="a3"/>
        <w:ind w:left="360" w:firstLineChars="0" w:firstLine="0"/>
        <w:rPr>
          <w:rFonts w:ascii="Times New Roman" w:hAnsi="Times New Roman" w:cs="Times New Roman"/>
        </w:rPr>
      </w:pPr>
      <w:r w:rsidRPr="0032285B">
        <w:rPr>
          <w:rFonts w:ascii="Times New Roman" w:hAnsi="Times New Roman" w:cs="Times New Roman"/>
          <w:szCs w:val="21"/>
        </w:rPr>
        <w:t xml:space="preserve">(2) </w:t>
      </w:r>
      <w:r w:rsidR="001662A9" w:rsidRPr="0032285B">
        <w:rPr>
          <w:rFonts w:ascii="Times New Roman" w:hAnsi="Times New Roman" w:cs="Times New Roman"/>
          <w:szCs w:val="21"/>
        </w:rPr>
        <w:t>Multidimensional analytica</w:t>
      </w:r>
      <w:r w:rsidR="0032285B" w:rsidRPr="0032285B">
        <w:rPr>
          <w:rFonts w:ascii="Times New Roman" w:hAnsi="Times New Roman" w:cs="Times New Roman"/>
          <w:szCs w:val="21"/>
        </w:rPr>
        <w:t>l workflow.</w:t>
      </w:r>
      <w:r w:rsidR="00C8018A">
        <w:rPr>
          <w:rFonts w:ascii="Times New Roman" w:hAnsi="Times New Roman" w:cs="Times New Roman"/>
          <w:szCs w:val="21"/>
        </w:rPr>
        <w:t xml:space="preserve"> (Figure 2)</w:t>
      </w:r>
    </w:p>
    <w:p w:rsidR="0032285B" w:rsidRDefault="0032285B" w:rsidP="0032285B">
      <w:pPr>
        <w:pStyle w:val="a3"/>
        <w:ind w:left="360" w:firstLineChars="0" w:firstLine="0"/>
        <w:rPr>
          <w:rFonts w:ascii="Times New Roman" w:hAnsi="Times New Roman" w:cs="Times New Roman"/>
          <w:szCs w:val="21"/>
        </w:rPr>
      </w:pPr>
      <w:r>
        <w:rPr>
          <w:rFonts w:ascii="Times New Roman" w:hAnsi="Times New Roman" w:cs="Times New Roman"/>
          <w:szCs w:val="21"/>
        </w:rPr>
        <w:t>Data normalization.</w:t>
      </w:r>
    </w:p>
    <w:p w:rsidR="0032285B" w:rsidRDefault="0032285B" w:rsidP="0032285B">
      <w:pPr>
        <w:pStyle w:val="a3"/>
        <w:ind w:left="360" w:firstLineChars="0" w:firstLine="0"/>
        <w:rPr>
          <w:rFonts w:ascii="Times New Roman" w:hAnsi="Times New Roman" w:cs="Times New Roman"/>
          <w:szCs w:val="21"/>
        </w:rPr>
      </w:pPr>
      <w:r w:rsidRPr="0032285B">
        <w:rPr>
          <w:rFonts w:ascii="Times New Roman" w:hAnsi="Times New Roman" w:cs="Times New Roman"/>
          <w:szCs w:val="21"/>
        </w:rPr>
        <w:t>PCA analysis was performed in SPSS. To assess the relationship between the different MRI measures</w:t>
      </w:r>
      <w:r>
        <w:rPr>
          <w:rFonts w:ascii="Times New Roman" w:hAnsi="Times New Roman" w:cs="Times New Roman"/>
          <w:szCs w:val="21"/>
        </w:rPr>
        <w:t xml:space="preserve">, we used a NL-PCA in the general workflow. NL-PCA is suitable for a set of variables including mixed measurement levels (nominal, ordinal, and numeric). </w:t>
      </w:r>
    </w:p>
    <w:p w:rsidR="0032285B" w:rsidRPr="0032285B" w:rsidRDefault="0032285B" w:rsidP="0032285B">
      <w:pPr>
        <w:pStyle w:val="a3"/>
        <w:ind w:left="360" w:firstLineChars="0" w:firstLine="0"/>
        <w:rPr>
          <w:rFonts w:ascii="Times New Roman" w:hAnsi="Times New Roman" w:cs="Times New Roman" w:hint="eastAsia"/>
          <w:szCs w:val="21"/>
        </w:rPr>
      </w:pPr>
      <w:r>
        <w:rPr>
          <w:rFonts w:ascii="Times New Roman" w:hAnsi="Times New Roman" w:cs="Times New Roman"/>
          <w:szCs w:val="21"/>
        </w:rPr>
        <w:t>To determine the stability of the NL-PCA, we performed…</w:t>
      </w:r>
    </w:p>
    <w:p w:rsidR="0032285B" w:rsidRDefault="0032285B" w:rsidP="0032285B">
      <w:pPr>
        <w:pStyle w:val="a3"/>
        <w:ind w:left="360" w:firstLineChars="0" w:firstLine="0"/>
        <w:rPr>
          <w:rFonts w:ascii="Times New Roman" w:hAnsi="Times New Roman" w:cs="Times New Roman"/>
          <w:szCs w:val="21"/>
        </w:rPr>
      </w:pPr>
      <w:r>
        <w:rPr>
          <w:rFonts w:ascii="Times New Roman" w:hAnsi="Times New Roman" w:cs="Times New Roman"/>
          <w:szCs w:val="21"/>
        </w:rPr>
        <w:t>(3</w:t>
      </w:r>
      <w:r w:rsidR="00AA5848" w:rsidRPr="0032285B">
        <w:rPr>
          <w:rFonts w:ascii="Times New Roman" w:hAnsi="Times New Roman" w:cs="Times New Roman"/>
          <w:szCs w:val="21"/>
        </w:rPr>
        <w:t>)</w:t>
      </w:r>
      <w:r>
        <w:rPr>
          <w:rFonts w:ascii="Times New Roman" w:hAnsi="Times New Roman" w:cs="Times New Roman"/>
          <w:szCs w:val="21"/>
        </w:rPr>
        <w:t xml:space="preserve"> Spearman</w:t>
      </w:r>
      <w:r w:rsidR="00AA5848" w:rsidRPr="0032285B">
        <w:rPr>
          <w:rFonts w:ascii="Times New Roman" w:hAnsi="Times New Roman" w:cs="Times New Roman"/>
          <w:szCs w:val="21"/>
        </w:rPr>
        <w:t xml:space="preserve"> Correlation: </w:t>
      </w:r>
    </w:p>
    <w:p w:rsidR="00AA5848" w:rsidRPr="0032285B" w:rsidRDefault="00AA5848" w:rsidP="0032285B">
      <w:pPr>
        <w:pStyle w:val="a3"/>
        <w:ind w:left="360" w:firstLineChars="0" w:firstLine="0"/>
        <w:rPr>
          <w:rFonts w:ascii="Times New Roman" w:hAnsi="Times New Roman" w:cs="Times New Roman"/>
          <w:szCs w:val="21"/>
        </w:rPr>
      </w:pPr>
      <w:proofErr w:type="spellStart"/>
      <w:r w:rsidRPr="0032285B">
        <w:rPr>
          <w:rFonts w:ascii="Times New Roman" w:hAnsi="Times New Roman" w:cs="Times New Roman"/>
          <w:szCs w:val="21"/>
        </w:rPr>
        <w:t>SUVmax</w:t>
      </w:r>
      <w:proofErr w:type="spellEnd"/>
      <w:r w:rsidRPr="0032285B">
        <w:rPr>
          <w:rFonts w:ascii="Times New Roman" w:hAnsi="Times New Roman" w:cs="Times New Roman"/>
          <w:szCs w:val="21"/>
        </w:rPr>
        <w:t xml:space="preserve"> V.S. parameters derived from diffusion MRI model (e.g. MK, MD, </w:t>
      </w:r>
      <w:r w:rsidR="0032285B">
        <w:rPr>
          <w:rFonts w:ascii="Times New Roman" w:hAnsi="Times New Roman" w:cs="Times New Roman"/>
          <w:szCs w:val="21"/>
        </w:rPr>
        <w:t xml:space="preserve">f, D, </w:t>
      </w:r>
      <w:proofErr w:type="spellStart"/>
      <w:r w:rsidR="0032285B">
        <w:rPr>
          <w:rFonts w:ascii="Times New Roman" w:hAnsi="Times New Roman" w:cs="Times New Roman"/>
          <w:szCs w:val="21"/>
        </w:rPr>
        <w:t>Dstar</w:t>
      </w:r>
      <w:proofErr w:type="spellEnd"/>
      <w:r w:rsidR="0032285B">
        <w:rPr>
          <w:rFonts w:ascii="Times New Roman" w:hAnsi="Times New Roman" w:cs="Times New Roman"/>
          <w:szCs w:val="21"/>
        </w:rPr>
        <w:t>, ADC) and</w:t>
      </w:r>
      <w:r w:rsidRPr="0032285B">
        <w:rPr>
          <w:rFonts w:ascii="Times New Roman" w:hAnsi="Times New Roman" w:cs="Times New Roman"/>
          <w:szCs w:val="21"/>
        </w:rPr>
        <w:t xml:space="preserve"> Gleason score V.S. all the parameters</w:t>
      </w:r>
    </w:p>
    <w:p w:rsidR="00815510" w:rsidRDefault="0032285B" w:rsidP="00815510">
      <w:pPr>
        <w:pStyle w:val="a3"/>
        <w:ind w:left="360" w:firstLineChars="0" w:firstLine="0"/>
        <w:rPr>
          <w:rFonts w:ascii="Times New Roman" w:hAnsi="Times New Roman" w:cs="Times New Roman"/>
          <w:szCs w:val="21"/>
        </w:rPr>
      </w:pPr>
      <w:r>
        <w:rPr>
          <w:rFonts w:ascii="Times New Roman" w:hAnsi="Times New Roman" w:cs="Times New Roman"/>
          <w:szCs w:val="21"/>
        </w:rPr>
        <w:t>(4</w:t>
      </w:r>
      <w:r w:rsidR="00AA5848">
        <w:rPr>
          <w:rFonts w:ascii="Times New Roman" w:hAnsi="Times New Roman" w:cs="Times New Roman"/>
          <w:szCs w:val="21"/>
        </w:rPr>
        <w:t>) ROC/AUC to find the best parameter to predict the Gleason score (prognosis)</w:t>
      </w:r>
    </w:p>
    <w:p w:rsidR="00815510" w:rsidRDefault="00815510" w:rsidP="00815510">
      <w:pPr>
        <w:pStyle w:val="a3"/>
        <w:ind w:left="360" w:firstLineChars="0" w:firstLine="0"/>
        <w:rPr>
          <w:rFonts w:ascii="Times New Roman" w:hAnsi="Times New Roman" w:cs="Times New Roman"/>
          <w:szCs w:val="21"/>
        </w:rPr>
      </w:pPr>
      <w:r w:rsidRPr="00815510">
        <w:rPr>
          <w:rFonts w:ascii="Times New Roman" w:hAnsi="Times New Roman" w:cs="Times New Roman"/>
          <w:szCs w:val="21"/>
        </w:rPr>
        <w:t>(</w:t>
      </w:r>
      <w:r>
        <w:rPr>
          <w:rFonts w:ascii="Times New Roman" w:hAnsi="Times New Roman" w:cs="Times New Roman"/>
          <w:szCs w:val="21"/>
        </w:rPr>
        <w:t>5</w:t>
      </w:r>
      <w:r w:rsidRPr="00815510">
        <w:rPr>
          <w:rFonts w:ascii="Times New Roman" w:hAnsi="Times New Roman" w:cs="Times New Roman"/>
          <w:szCs w:val="21"/>
        </w:rPr>
        <w:t>)</w:t>
      </w:r>
      <w:r>
        <w:rPr>
          <w:rFonts w:ascii="Times New Roman" w:hAnsi="Times New Roman" w:cs="Times New Roman"/>
          <w:szCs w:val="21"/>
        </w:rPr>
        <w:t xml:space="preserve"> Levels of validity.</w:t>
      </w:r>
    </w:p>
    <w:p w:rsidR="007D66A3" w:rsidRDefault="007D66A3" w:rsidP="00AA5848">
      <w:pPr>
        <w:rPr>
          <w:rFonts w:ascii="Times New Roman" w:hAnsi="Times New Roman" w:cs="Times New Roman" w:hint="eastAsia"/>
          <w:szCs w:val="21"/>
        </w:rPr>
      </w:pPr>
    </w:p>
    <w:p w:rsidR="007D66A3" w:rsidRDefault="007D66A3" w:rsidP="00AA5848">
      <w:pPr>
        <w:rPr>
          <w:rFonts w:ascii="Times New Roman" w:hAnsi="Times New Roman" w:cs="Times New Roman"/>
          <w:szCs w:val="21"/>
        </w:rPr>
      </w:pPr>
      <w:r>
        <w:rPr>
          <w:rFonts w:ascii="Times New Roman" w:hAnsi="Times New Roman" w:cs="Times New Roman"/>
          <w:szCs w:val="21"/>
        </w:rPr>
        <w:t>Result:</w:t>
      </w:r>
    </w:p>
    <w:p w:rsidR="00C8018A" w:rsidRDefault="00C8018A" w:rsidP="00C8018A">
      <w:pPr>
        <w:pStyle w:val="a3"/>
        <w:numPr>
          <w:ilvl w:val="0"/>
          <w:numId w:val="3"/>
        </w:numPr>
        <w:ind w:firstLineChars="0"/>
        <w:rPr>
          <w:rFonts w:ascii="Times New Roman" w:hAnsi="Times New Roman" w:cs="Times New Roman"/>
          <w:szCs w:val="21"/>
        </w:rPr>
      </w:pPr>
      <w:r>
        <w:rPr>
          <w:rFonts w:ascii="Times New Roman" w:hAnsi="Times New Roman" w:cs="Times New Roman" w:hint="eastAsia"/>
          <w:szCs w:val="21"/>
        </w:rPr>
        <w:t>B</w:t>
      </w:r>
      <w:r>
        <w:rPr>
          <w:rFonts w:ascii="Times New Roman" w:hAnsi="Times New Roman" w:cs="Times New Roman"/>
          <w:szCs w:val="21"/>
        </w:rPr>
        <w:t>land-Altman plot (option, Figure 3)</w:t>
      </w:r>
    </w:p>
    <w:p w:rsidR="00C8018A" w:rsidRPr="00C8018A" w:rsidRDefault="00F87AEE" w:rsidP="00C8018A">
      <w:pPr>
        <w:pStyle w:val="a3"/>
        <w:numPr>
          <w:ilvl w:val="0"/>
          <w:numId w:val="3"/>
        </w:numPr>
        <w:ind w:firstLineChars="0"/>
        <w:rPr>
          <w:rFonts w:ascii="Times New Roman" w:hAnsi="Times New Roman" w:cs="Times New Roman"/>
          <w:szCs w:val="21"/>
        </w:rPr>
      </w:pPr>
      <w:r w:rsidRPr="00C8018A">
        <w:rPr>
          <w:rFonts w:ascii="Times New Roman" w:hAnsi="Times New Roman" w:cs="Times New Roman"/>
          <w:bCs/>
          <w:szCs w:val="21"/>
        </w:rPr>
        <w:t xml:space="preserve">MRI measures will group as coherent multivariate principal component (PC) ensembles, and that distinct PCs and individual variable will </w:t>
      </w:r>
      <w:r w:rsidR="00C8018A">
        <w:rPr>
          <w:rFonts w:ascii="Times New Roman" w:hAnsi="Times New Roman" w:cs="Times New Roman"/>
          <w:bCs/>
          <w:szCs w:val="21"/>
        </w:rPr>
        <w:t>significantly correlated with SUV max and Gleason score</w:t>
      </w:r>
    </w:p>
    <w:p w:rsidR="00C8018A" w:rsidRPr="00C8018A" w:rsidRDefault="00C8018A" w:rsidP="00C8018A">
      <w:pPr>
        <w:pStyle w:val="a3"/>
        <w:ind w:left="360" w:firstLineChars="0" w:firstLine="0"/>
        <w:rPr>
          <w:rFonts w:ascii="Times New Roman" w:hAnsi="Times New Roman" w:cs="Times New Roman"/>
          <w:szCs w:val="21"/>
        </w:rPr>
      </w:pPr>
      <w:r>
        <w:rPr>
          <w:rFonts w:ascii="Times New Roman" w:hAnsi="Times New Roman" w:cs="Times New Roman"/>
          <w:bCs/>
          <w:szCs w:val="21"/>
        </w:rPr>
        <w:t>[Spearman correlation with SUV max, Table1; Spearman correlation with Gleason score, Table2]</w:t>
      </w:r>
    </w:p>
    <w:p w:rsidR="00000000" w:rsidRPr="00C8018A" w:rsidRDefault="00C8018A" w:rsidP="00C8018A">
      <w:pPr>
        <w:pStyle w:val="a3"/>
        <w:numPr>
          <w:ilvl w:val="0"/>
          <w:numId w:val="3"/>
        </w:numPr>
        <w:ind w:firstLineChars="0"/>
        <w:rPr>
          <w:rFonts w:ascii="Times New Roman" w:hAnsi="Times New Roman" w:cs="Times New Roman"/>
          <w:szCs w:val="21"/>
        </w:rPr>
      </w:pPr>
      <w:r>
        <w:rPr>
          <w:rFonts w:ascii="Times New Roman" w:hAnsi="Times New Roman" w:cs="Times New Roman"/>
          <w:bCs/>
          <w:szCs w:val="21"/>
        </w:rPr>
        <w:t xml:space="preserve">Distinct PCs and individual variable will </w:t>
      </w:r>
      <w:r w:rsidR="00F87AEE" w:rsidRPr="00C8018A">
        <w:rPr>
          <w:rFonts w:ascii="Times New Roman" w:hAnsi="Times New Roman" w:cs="Times New Roman"/>
          <w:bCs/>
          <w:szCs w:val="21"/>
        </w:rPr>
        <w:t>s</w:t>
      </w:r>
      <w:r w:rsidR="00F87AEE" w:rsidRPr="00C8018A">
        <w:rPr>
          <w:rFonts w:ascii="Times New Roman" w:hAnsi="Times New Roman" w:cs="Times New Roman"/>
          <w:bCs/>
          <w:szCs w:val="21"/>
        </w:rPr>
        <w:t>how discriminant vali</w:t>
      </w:r>
      <w:r w:rsidR="00F87AEE" w:rsidRPr="00C8018A">
        <w:rPr>
          <w:rFonts w:ascii="Times New Roman" w:hAnsi="Times New Roman" w:cs="Times New Roman"/>
          <w:bCs/>
          <w:szCs w:val="21"/>
        </w:rPr>
        <w:t>dity for predicting Gleason Score (Prognosis)</w:t>
      </w:r>
      <w:r>
        <w:rPr>
          <w:rFonts w:ascii="Times New Roman" w:hAnsi="Times New Roman" w:cs="Times New Roman"/>
          <w:bCs/>
          <w:szCs w:val="21"/>
        </w:rPr>
        <w:t xml:space="preserve"> (Figure 4)</w:t>
      </w:r>
    </w:p>
    <w:p w:rsidR="00C8018A" w:rsidRPr="00C76804" w:rsidRDefault="00C8018A" w:rsidP="00C76804">
      <w:pPr>
        <w:rPr>
          <w:rFonts w:ascii="Times New Roman" w:hAnsi="Times New Roman" w:cs="Times New Roman" w:hint="eastAsia"/>
          <w:szCs w:val="21"/>
        </w:rPr>
      </w:pPr>
    </w:p>
    <w:p w:rsidR="007D66A3" w:rsidRDefault="007D66A3" w:rsidP="00AA5848">
      <w:pPr>
        <w:rPr>
          <w:rFonts w:ascii="Times New Roman" w:hAnsi="Times New Roman" w:cs="Times New Roman"/>
          <w:szCs w:val="21"/>
        </w:rPr>
      </w:pPr>
      <w:r>
        <w:rPr>
          <w:rFonts w:ascii="Times New Roman" w:hAnsi="Times New Roman" w:cs="Times New Roman"/>
          <w:szCs w:val="21"/>
        </w:rPr>
        <w:t>Discussion:</w:t>
      </w:r>
    </w:p>
    <w:p w:rsidR="00E04E16" w:rsidRPr="00E04E16" w:rsidRDefault="00AD0BC1" w:rsidP="00E04E16">
      <w:pPr>
        <w:pStyle w:val="a3"/>
        <w:numPr>
          <w:ilvl w:val="0"/>
          <w:numId w:val="5"/>
        </w:numPr>
        <w:ind w:firstLineChars="0"/>
        <w:rPr>
          <w:rFonts w:ascii="Times New Roman" w:hAnsi="Times New Roman" w:cs="Times New Roman" w:hint="eastAsia"/>
          <w:szCs w:val="21"/>
        </w:rPr>
      </w:pPr>
      <w:r>
        <w:rPr>
          <w:rFonts w:ascii="Times New Roman" w:hAnsi="Times New Roman" w:cs="Times New Roman" w:hint="eastAsia"/>
          <w:szCs w:val="21"/>
        </w:rPr>
        <w:t>W</w:t>
      </w:r>
      <w:r>
        <w:rPr>
          <w:rFonts w:ascii="Times New Roman" w:hAnsi="Times New Roman" w:cs="Times New Roman"/>
          <w:szCs w:val="21"/>
        </w:rPr>
        <w:t>e have investigated the feasibility of using a set of novel diffusion parameters in PSMA PET-MR to differentiate intermediate- and high-risk prostate cancer</w:t>
      </w:r>
      <w:r w:rsidR="00E04E16">
        <w:rPr>
          <w:rFonts w:ascii="Times New Roman" w:hAnsi="Times New Roman" w:cs="Times New Roman"/>
          <w:szCs w:val="21"/>
        </w:rPr>
        <w:t>.</w:t>
      </w:r>
    </w:p>
    <w:p w:rsidR="00E04E16" w:rsidRDefault="00E04E16" w:rsidP="00C76804">
      <w:pPr>
        <w:pStyle w:val="a3"/>
        <w:numPr>
          <w:ilvl w:val="0"/>
          <w:numId w:val="5"/>
        </w:numPr>
        <w:ind w:firstLineChars="0"/>
        <w:rPr>
          <w:rFonts w:ascii="Times New Roman" w:hAnsi="Times New Roman" w:cs="Times New Roman"/>
          <w:szCs w:val="21"/>
        </w:rPr>
      </w:pPr>
      <w:r>
        <w:rPr>
          <w:rFonts w:ascii="Times New Roman" w:hAnsi="Times New Roman" w:cs="Times New Roman"/>
          <w:szCs w:val="21"/>
        </w:rPr>
        <w:t xml:space="preserve">Why we choose PET-MR? Better than CT, MR, and PET/CT. </w:t>
      </w:r>
      <w:r w:rsidR="00AD0BC1">
        <w:rPr>
          <w:rFonts w:ascii="Times New Roman" w:hAnsi="Times New Roman" w:cs="Times New Roman"/>
          <w:szCs w:val="21"/>
        </w:rPr>
        <w:t xml:space="preserve">Previous studies have proved that (1) PET/MR </w:t>
      </w:r>
      <w:proofErr w:type="spellStart"/>
      <w:r w:rsidR="00AD0BC1">
        <w:rPr>
          <w:rFonts w:ascii="Times New Roman" w:hAnsi="Times New Roman" w:cs="Times New Roman"/>
          <w:szCs w:val="21"/>
        </w:rPr>
        <w:t>SUVmax</w:t>
      </w:r>
      <w:proofErr w:type="spellEnd"/>
      <w:r w:rsidR="00AD0BC1">
        <w:rPr>
          <w:rFonts w:ascii="Times New Roman" w:hAnsi="Times New Roman" w:cs="Times New Roman"/>
          <w:szCs w:val="21"/>
        </w:rPr>
        <w:t xml:space="preserve"> and ADC are able to differentiate intra-prostatic cancer and normal prostatic tissue in naïve prostate cancer patients. (2) PSMA PET-MR imaging could differentiate intermediate- or high-risk prostate cancer, which provides valuable diagnostic information and may inform the need for and extend of pelvic node dissection.</w:t>
      </w:r>
    </w:p>
    <w:p w:rsidR="00E04E16" w:rsidRDefault="00E04E16" w:rsidP="00E04E16">
      <w:pPr>
        <w:pStyle w:val="a3"/>
        <w:ind w:left="360" w:firstLineChars="0" w:firstLine="0"/>
        <w:rPr>
          <w:rFonts w:ascii="Times New Roman" w:hAnsi="Times New Roman" w:cs="Times New Roman"/>
          <w:szCs w:val="21"/>
        </w:rPr>
      </w:pPr>
    </w:p>
    <w:p w:rsidR="00AD0BC1" w:rsidRDefault="00E04E16" w:rsidP="00E04E16">
      <w:pPr>
        <w:pStyle w:val="a3"/>
        <w:ind w:left="360" w:firstLineChars="0" w:firstLine="0"/>
        <w:rPr>
          <w:rFonts w:ascii="Times New Roman" w:hAnsi="Times New Roman" w:cs="Times New Roman"/>
          <w:szCs w:val="21"/>
        </w:rPr>
      </w:pPr>
      <w:r>
        <w:rPr>
          <w:rFonts w:ascii="Times New Roman" w:hAnsi="Times New Roman" w:cs="Times New Roman"/>
          <w:szCs w:val="21"/>
        </w:rPr>
        <w:t>Why we use multi-parametric diffusion model</w:t>
      </w:r>
    </w:p>
    <w:p w:rsidR="00AD0BC1" w:rsidRDefault="00AD0BC1" w:rsidP="00AD0BC1">
      <w:pPr>
        <w:pStyle w:val="a3"/>
        <w:numPr>
          <w:ilvl w:val="0"/>
          <w:numId w:val="5"/>
        </w:numPr>
        <w:ind w:firstLineChars="0"/>
        <w:rPr>
          <w:rFonts w:ascii="Times New Roman" w:hAnsi="Times New Roman" w:cs="Times New Roman"/>
          <w:szCs w:val="21"/>
        </w:rPr>
      </w:pPr>
      <w:r>
        <w:rPr>
          <w:rFonts w:ascii="Times New Roman" w:hAnsi="Times New Roman" w:cs="Times New Roman"/>
          <w:szCs w:val="21"/>
        </w:rPr>
        <w:t xml:space="preserve">ADC has been applied to assess prostate cancer, including evaluating the aggressiveness of prostate cancer. However, ADC values varied within the same Gleason Score groups, and there was considerable overlap among the groups in the present study, which compromising the specificity and diagnostic accuracy. </w:t>
      </w:r>
    </w:p>
    <w:p w:rsidR="00AD0BC1" w:rsidRDefault="00AD0BC1" w:rsidP="00AD0BC1">
      <w:pPr>
        <w:pStyle w:val="a3"/>
        <w:numPr>
          <w:ilvl w:val="0"/>
          <w:numId w:val="5"/>
        </w:numPr>
        <w:ind w:firstLineChars="0"/>
        <w:rPr>
          <w:rFonts w:ascii="Times New Roman" w:hAnsi="Times New Roman" w:cs="Times New Roman"/>
          <w:szCs w:val="21"/>
        </w:rPr>
      </w:pPr>
      <w:r>
        <w:rPr>
          <w:rFonts w:ascii="Times New Roman" w:hAnsi="Times New Roman" w:cs="Times New Roman"/>
          <w:szCs w:val="21"/>
        </w:rPr>
        <w:lastRenderedPageBreak/>
        <w:t>The sub-optimal performance of ADC for tumor grading originates, at least in part, from the use of a Gaussian diffusion model</w:t>
      </w:r>
      <w:r w:rsidR="00E04E16">
        <w:rPr>
          <w:rFonts w:ascii="Times New Roman" w:hAnsi="Times New Roman" w:cs="Times New Roman"/>
          <w:szCs w:val="21"/>
        </w:rPr>
        <w:t xml:space="preserve"> (i.e. mono-exponential)</w:t>
      </w:r>
      <w:r>
        <w:rPr>
          <w:rFonts w:ascii="Times New Roman" w:hAnsi="Times New Roman" w:cs="Times New Roman"/>
          <w:szCs w:val="21"/>
        </w:rPr>
        <w:t xml:space="preserve"> which assumes a homogeneous diffusion process in tumor despite overwhelming evidence of tumor heterogeneity. In the presence of heterogeneity,</w:t>
      </w:r>
      <w:r w:rsidR="00E04E16">
        <w:rPr>
          <w:rFonts w:ascii="Times New Roman" w:hAnsi="Times New Roman" w:cs="Times New Roman"/>
          <w:szCs w:val="21"/>
        </w:rPr>
        <w:t xml:space="preserve"> </w:t>
      </w:r>
      <w:proofErr w:type="spellStart"/>
      <w:r w:rsidR="00F87AEE">
        <w:rPr>
          <w:rFonts w:ascii="Times New Roman" w:hAnsi="Times New Roman" w:cs="Times New Roman"/>
          <w:szCs w:val="21"/>
        </w:rPr>
        <w:t>biexponential</w:t>
      </w:r>
      <w:proofErr w:type="spellEnd"/>
      <w:r w:rsidR="00F87AEE">
        <w:rPr>
          <w:rFonts w:ascii="Times New Roman" w:hAnsi="Times New Roman" w:cs="Times New Roman"/>
          <w:szCs w:val="21"/>
        </w:rPr>
        <w:t xml:space="preserve"> model, like IVIM and other </w:t>
      </w:r>
      <w:r>
        <w:rPr>
          <w:rFonts w:ascii="Times New Roman" w:hAnsi="Times New Roman" w:cs="Times New Roman"/>
          <w:szCs w:val="21"/>
        </w:rPr>
        <w:t>non-Gaussian diffusion models,</w:t>
      </w:r>
      <w:r w:rsidR="00E04E16">
        <w:rPr>
          <w:rFonts w:ascii="Times New Roman" w:hAnsi="Times New Roman" w:cs="Times New Roman"/>
          <w:szCs w:val="21"/>
        </w:rPr>
        <w:t xml:space="preserve"> including DKI and FROC, can be more effective in charactering the complex diffusion process.</w:t>
      </w:r>
    </w:p>
    <w:p w:rsidR="00F87AEE" w:rsidRDefault="00F87AEE" w:rsidP="00AD0BC1">
      <w:pPr>
        <w:pStyle w:val="a3"/>
        <w:numPr>
          <w:ilvl w:val="0"/>
          <w:numId w:val="5"/>
        </w:numPr>
        <w:ind w:firstLineChars="0"/>
        <w:rPr>
          <w:rFonts w:ascii="Times New Roman" w:hAnsi="Times New Roman" w:cs="Times New Roman"/>
          <w:szCs w:val="21"/>
        </w:rPr>
      </w:pPr>
      <w:r>
        <w:rPr>
          <w:rFonts w:ascii="Times New Roman" w:hAnsi="Times New Roman" w:cs="Times New Roman"/>
          <w:szCs w:val="21"/>
        </w:rPr>
        <w:t xml:space="preserve">As we know, ADC is a quantitative biomarker for tissue cellularity. However, in addition to the cellularity, microvasculature can also be a significant component in an image voxel, which will affect the prognosis of prostate cancer. </w:t>
      </w:r>
    </w:p>
    <w:p w:rsidR="00F87AEE" w:rsidRDefault="00F87AEE" w:rsidP="00AD0BC1">
      <w:pPr>
        <w:pStyle w:val="a3"/>
        <w:numPr>
          <w:ilvl w:val="0"/>
          <w:numId w:val="5"/>
        </w:numPr>
        <w:ind w:firstLineChars="0"/>
        <w:rPr>
          <w:rFonts w:ascii="Times New Roman" w:hAnsi="Times New Roman" w:cs="Times New Roman"/>
          <w:szCs w:val="21"/>
        </w:rPr>
      </w:pPr>
      <w:r>
        <w:rPr>
          <w:rFonts w:ascii="Times New Roman" w:hAnsi="Times New Roman" w:cs="Times New Roman"/>
          <w:szCs w:val="21"/>
        </w:rPr>
        <w:t>Microstructures: DKI+FROC</w:t>
      </w:r>
    </w:p>
    <w:p w:rsidR="00F87AEE" w:rsidRDefault="00F87AEE" w:rsidP="00F87AEE">
      <w:pPr>
        <w:pStyle w:val="a3"/>
        <w:ind w:left="360" w:firstLineChars="0" w:firstLine="0"/>
        <w:rPr>
          <w:rFonts w:ascii="Times New Roman" w:hAnsi="Times New Roman" w:cs="Times New Roman"/>
          <w:szCs w:val="21"/>
        </w:rPr>
      </w:pPr>
      <w:r>
        <w:rPr>
          <w:rFonts w:ascii="Times New Roman" w:hAnsi="Times New Roman" w:cs="Times New Roman"/>
          <w:szCs w:val="21"/>
        </w:rPr>
        <w:t xml:space="preserve">The diffusion kurtosis mode, generalizes the </w:t>
      </w:r>
      <w:proofErr w:type="spellStart"/>
      <w:r>
        <w:rPr>
          <w:rFonts w:ascii="Times New Roman" w:hAnsi="Times New Roman" w:cs="Times New Roman"/>
          <w:szCs w:val="21"/>
        </w:rPr>
        <w:t>monoexponential</w:t>
      </w:r>
      <w:proofErr w:type="spellEnd"/>
      <w:r>
        <w:rPr>
          <w:rFonts w:ascii="Times New Roman" w:hAnsi="Times New Roman" w:cs="Times New Roman"/>
          <w:szCs w:val="21"/>
        </w:rPr>
        <w:t xml:space="preserve"> Gaussian model to the non-Gaussian regime. As a single diffusion coefficient is no longer sufficient to describe diffusion process in a complex and heterogeneous tissue, FROC diffusion model could be used to provide new parameter.</w:t>
      </w:r>
    </w:p>
    <w:p w:rsidR="00F87AEE" w:rsidRDefault="00F87AEE" w:rsidP="00F87AEE">
      <w:pPr>
        <w:pStyle w:val="a3"/>
        <w:ind w:left="360" w:firstLineChars="0" w:firstLine="0"/>
        <w:rPr>
          <w:rFonts w:ascii="Times New Roman" w:hAnsi="Times New Roman" w:cs="Times New Roman"/>
          <w:szCs w:val="21"/>
        </w:rPr>
      </w:pPr>
      <w:r>
        <w:rPr>
          <w:rFonts w:ascii="Times New Roman" w:hAnsi="Times New Roman" w:cs="Times New Roman"/>
          <w:szCs w:val="21"/>
        </w:rPr>
        <w:t xml:space="preserve">Water molecules can produce a variable spatial displacement in each move. This spatial heterogeneity is a direct reflection of the underlying tissue structural complexity. </w:t>
      </w:r>
    </w:p>
    <w:p w:rsidR="00F87AEE" w:rsidRDefault="00F87AEE" w:rsidP="00F87AEE">
      <w:pPr>
        <w:pStyle w:val="a3"/>
        <w:numPr>
          <w:ilvl w:val="0"/>
          <w:numId w:val="5"/>
        </w:numPr>
        <w:ind w:firstLineChars="0"/>
        <w:rPr>
          <w:rFonts w:ascii="Times New Roman" w:hAnsi="Times New Roman" w:cs="Times New Roman"/>
          <w:szCs w:val="21"/>
        </w:rPr>
      </w:pPr>
      <w:r>
        <w:rPr>
          <w:rFonts w:ascii="Times New Roman" w:hAnsi="Times New Roman" w:cs="Times New Roman" w:hint="eastAsia"/>
          <w:szCs w:val="21"/>
        </w:rPr>
        <w:t>W</w:t>
      </w:r>
      <w:r>
        <w:rPr>
          <w:rFonts w:ascii="Times New Roman" w:hAnsi="Times New Roman" w:cs="Times New Roman"/>
          <w:szCs w:val="21"/>
        </w:rPr>
        <w:t>hy PC1 is better than PC2 (or PC2 is better than PC1): weights of parameters and why these parameters are important.</w:t>
      </w:r>
    </w:p>
    <w:p w:rsidR="00F87AEE" w:rsidRDefault="00F87AEE" w:rsidP="00F87AEE">
      <w:pPr>
        <w:pStyle w:val="a3"/>
        <w:numPr>
          <w:ilvl w:val="0"/>
          <w:numId w:val="5"/>
        </w:numPr>
        <w:ind w:firstLineChars="0"/>
        <w:rPr>
          <w:rFonts w:ascii="Times New Roman" w:hAnsi="Times New Roman" w:cs="Times New Roman"/>
          <w:szCs w:val="21"/>
        </w:rPr>
      </w:pPr>
      <w:r>
        <w:rPr>
          <w:rFonts w:ascii="Times New Roman" w:hAnsi="Times New Roman" w:cs="Times New Roman"/>
          <w:szCs w:val="21"/>
        </w:rPr>
        <w:t>If PC is better than other parameter: None is dispensable</w:t>
      </w:r>
    </w:p>
    <w:p w:rsidR="00F87AEE" w:rsidRDefault="00F87AEE" w:rsidP="00F87AEE">
      <w:pPr>
        <w:pStyle w:val="a3"/>
        <w:ind w:left="360" w:firstLineChars="0" w:firstLine="0"/>
        <w:rPr>
          <w:rFonts w:ascii="Times New Roman" w:hAnsi="Times New Roman" w:cs="Times New Roman"/>
          <w:szCs w:val="21"/>
        </w:rPr>
      </w:pPr>
      <w:r>
        <w:rPr>
          <w:rFonts w:ascii="Times New Roman" w:hAnsi="Times New Roman" w:cs="Times New Roman"/>
          <w:szCs w:val="21"/>
        </w:rPr>
        <w:t>If no</w:t>
      </w:r>
      <w:r>
        <w:rPr>
          <w:rFonts w:ascii="Times New Roman" w:hAnsi="Times New Roman" w:cs="Times New Roman" w:hint="eastAsia"/>
          <w:szCs w:val="21"/>
        </w:rPr>
        <w:t>t</w:t>
      </w:r>
      <w:r>
        <w:rPr>
          <w:rFonts w:ascii="Times New Roman" w:hAnsi="Times New Roman" w:cs="Times New Roman"/>
          <w:szCs w:val="21"/>
        </w:rPr>
        <w:t>: Highlight that parameter: e.</w:t>
      </w:r>
      <w:r>
        <w:rPr>
          <w:rFonts w:ascii="Times New Roman" w:hAnsi="Times New Roman" w:cs="Times New Roman" w:hint="eastAsia"/>
          <w:szCs w:val="21"/>
        </w:rPr>
        <w:t>g</w:t>
      </w:r>
      <w:r>
        <w:rPr>
          <w:rFonts w:ascii="Times New Roman" w:hAnsi="Times New Roman" w:cs="Times New Roman"/>
          <w:szCs w:val="21"/>
        </w:rPr>
        <w:t xml:space="preserve">. </w:t>
      </w:r>
      <w:r>
        <w:rPr>
          <w:rFonts w:ascii="Times New Roman" w:hAnsi="Times New Roman" w:cs="Times New Roman" w:hint="eastAsia"/>
          <w:szCs w:val="21"/>
        </w:rPr>
        <w:t>β</w:t>
      </w:r>
      <w:r>
        <w:rPr>
          <w:rFonts w:ascii="Times New Roman" w:hAnsi="Times New Roman" w:cs="Times New Roman"/>
          <w:szCs w:val="21"/>
        </w:rPr>
        <w:t xml:space="preserve"> is better than others. Smaller </w:t>
      </w:r>
      <w:r>
        <w:rPr>
          <w:rFonts w:ascii="Times New Roman" w:hAnsi="Times New Roman" w:cs="Times New Roman" w:hint="eastAsia"/>
          <w:szCs w:val="21"/>
        </w:rPr>
        <w:t>β</w:t>
      </w:r>
      <w:r>
        <w:rPr>
          <w:rFonts w:ascii="Times New Roman" w:hAnsi="Times New Roman" w:cs="Times New Roman"/>
          <w:szCs w:val="21"/>
        </w:rPr>
        <w:t xml:space="preserve"> value exhibit a larger degree of intra-voxel heterogeneity. Previously study showed that </w:t>
      </w:r>
      <w:r>
        <w:rPr>
          <w:rFonts w:ascii="Times New Roman" w:hAnsi="Times New Roman" w:cs="Times New Roman" w:hint="eastAsia"/>
          <w:szCs w:val="21"/>
        </w:rPr>
        <w:t>β</w:t>
      </w:r>
      <w:r>
        <w:rPr>
          <w:rFonts w:ascii="Times New Roman" w:hAnsi="Times New Roman" w:cs="Times New Roman"/>
          <w:szCs w:val="21"/>
        </w:rPr>
        <w:t xml:space="preserve"> had weak correlation with D or </w:t>
      </w:r>
      <w:r>
        <w:rPr>
          <w:rFonts w:ascii="Times New Roman" w:hAnsi="Times New Roman" w:cs="Times New Roman" w:hint="eastAsia"/>
          <w:szCs w:val="21"/>
        </w:rPr>
        <w:t>μ</w:t>
      </w:r>
      <w:r>
        <w:rPr>
          <w:rFonts w:ascii="Times New Roman" w:hAnsi="Times New Roman" w:cs="Times New Roman" w:hint="eastAsia"/>
          <w:szCs w:val="21"/>
        </w:rPr>
        <w:t>.</w:t>
      </w:r>
    </w:p>
    <w:p w:rsidR="00F87AEE" w:rsidRPr="00F87AEE" w:rsidRDefault="00F87AEE" w:rsidP="00F87AEE">
      <w:pPr>
        <w:pStyle w:val="a3"/>
        <w:numPr>
          <w:ilvl w:val="0"/>
          <w:numId w:val="5"/>
        </w:numPr>
        <w:ind w:firstLineChars="0"/>
        <w:rPr>
          <w:rFonts w:ascii="Times New Roman" w:hAnsi="Times New Roman" w:cs="Times New Roman" w:hint="eastAsia"/>
          <w:szCs w:val="21"/>
        </w:rPr>
      </w:pPr>
      <w:r>
        <w:rPr>
          <w:rFonts w:ascii="Times New Roman" w:hAnsi="Times New Roman" w:cs="Times New Roman"/>
          <w:szCs w:val="21"/>
        </w:rPr>
        <w:t>Limitation: retrospective studies. Small sample size. A</w:t>
      </w:r>
      <w:r>
        <w:rPr>
          <w:rFonts w:ascii="Times New Roman" w:hAnsi="Times New Roman" w:cs="Times New Roman" w:hint="eastAsia"/>
          <w:szCs w:val="21"/>
        </w:rPr>
        <w:t>n</w:t>
      </w:r>
      <w:r>
        <w:rPr>
          <w:rFonts w:ascii="Times New Roman" w:hAnsi="Times New Roman" w:cs="Times New Roman"/>
          <w:szCs w:val="21"/>
        </w:rPr>
        <w:t xml:space="preserve"> extension of the FROC model to capturing temporal heterogeneity, as demonstrated recently (CTRW), suggests new opportunities to further improve the performance.</w:t>
      </w:r>
      <w:bookmarkStart w:id="0" w:name="_GoBack"/>
      <w:bookmarkEnd w:id="0"/>
      <w:r>
        <w:rPr>
          <w:rFonts w:ascii="Times New Roman" w:hAnsi="Times New Roman" w:cs="Times New Roman"/>
          <w:szCs w:val="21"/>
        </w:rPr>
        <w:t xml:space="preserve"> </w:t>
      </w:r>
    </w:p>
    <w:sectPr w:rsidR="00F87AEE" w:rsidRPr="00F87A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24A3"/>
    <w:multiLevelType w:val="hybridMultilevel"/>
    <w:tmpl w:val="01A097C8"/>
    <w:lvl w:ilvl="0" w:tplc="16BA5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B11173"/>
    <w:multiLevelType w:val="hybridMultilevel"/>
    <w:tmpl w:val="AF562946"/>
    <w:lvl w:ilvl="0" w:tplc="0214FA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AB095A"/>
    <w:multiLevelType w:val="hybridMultilevel"/>
    <w:tmpl w:val="0D28070E"/>
    <w:lvl w:ilvl="0" w:tplc="DC0691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266A39"/>
    <w:multiLevelType w:val="hybridMultilevel"/>
    <w:tmpl w:val="93F8060A"/>
    <w:lvl w:ilvl="0" w:tplc="E5E4F458">
      <w:start w:val="1"/>
      <w:numFmt w:val="decimal"/>
      <w:lvlText w:val="%1."/>
      <w:lvlJc w:val="left"/>
      <w:pPr>
        <w:tabs>
          <w:tab w:val="num" w:pos="720"/>
        </w:tabs>
        <w:ind w:left="720" w:hanging="360"/>
      </w:pPr>
    </w:lvl>
    <w:lvl w:ilvl="1" w:tplc="922E56EA" w:tentative="1">
      <w:start w:val="1"/>
      <w:numFmt w:val="decimal"/>
      <w:lvlText w:val="%2."/>
      <w:lvlJc w:val="left"/>
      <w:pPr>
        <w:tabs>
          <w:tab w:val="num" w:pos="1440"/>
        </w:tabs>
        <w:ind w:left="1440" w:hanging="360"/>
      </w:pPr>
    </w:lvl>
    <w:lvl w:ilvl="2" w:tplc="E0D4BA5C" w:tentative="1">
      <w:start w:val="1"/>
      <w:numFmt w:val="decimal"/>
      <w:lvlText w:val="%3."/>
      <w:lvlJc w:val="left"/>
      <w:pPr>
        <w:tabs>
          <w:tab w:val="num" w:pos="2160"/>
        </w:tabs>
        <w:ind w:left="2160" w:hanging="360"/>
      </w:pPr>
    </w:lvl>
    <w:lvl w:ilvl="3" w:tplc="FDB4A428" w:tentative="1">
      <w:start w:val="1"/>
      <w:numFmt w:val="decimal"/>
      <w:lvlText w:val="%4."/>
      <w:lvlJc w:val="left"/>
      <w:pPr>
        <w:tabs>
          <w:tab w:val="num" w:pos="2880"/>
        </w:tabs>
        <w:ind w:left="2880" w:hanging="360"/>
      </w:pPr>
    </w:lvl>
    <w:lvl w:ilvl="4" w:tplc="31423504" w:tentative="1">
      <w:start w:val="1"/>
      <w:numFmt w:val="decimal"/>
      <w:lvlText w:val="%5."/>
      <w:lvlJc w:val="left"/>
      <w:pPr>
        <w:tabs>
          <w:tab w:val="num" w:pos="3600"/>
        </w:tabs>
        <w:ind w:left="3600" w:hanging="360"/>
      </w:pPr>
    </w:lvl>
    <w:lvl w:ilvl="5" w:tplc="504018DC" w:tentative="1">
      <w:start w:val="1"/>
      <w:numFmt w:val="decimal"/>
      <w:lvlText w:val="%6."/>
      <w:lvlJc w:val="left"/>
      <w:pPr>
        <w:tabs>
          <w:tab w:val="num" w:pos="4320"/>
        </w:tabs>
        <w:ind w:left="4320" w:hanging="360"/>
      </w:pPr>
    </w:lvl>
    <w:lvl w:ilvl="6" w:tplc="0B2E5304" w:tentative="1">
      <w:start w:val="1"/>
      <w:numFmt w:val="decimal"/>
      <w:lvlText w:val="%7."/>
      <w:lvlJc w:val="left"/>
      <w:pPr>
        <w:tabs>
          <w:tab w:val="num" w:pos="5040"/>
        </w:tabs>
        <w:ind w:left="5040" w:hanging="360"/>
      </w:pPr>
    </w:lvl>
    <w:lvl w:ilvl="7" w:tplc="1C52DDCA" w:tentative="1">
      <w:start w:val="1"/>
      <w:numFmt w:val="decimal"/>
      <w:lvlText w:val="%8."/>
      <w:lvlJc w:val="left"/>
      <w:pPr>
        <w:tabs>
          <w:tab w:val="num" w:pos="5760"/>
        </w:tabs>
        <w:ind w:left="5760" w:hanging="360"/>
      </w:pPr>
    </w:lvl>
    <w:lvl w:ilvl="8" w:tplc="4CF4AE5E" w:tentative="1">
      <w:start w:val="1"/>
      <w:numFmt w:val="decimal"/>
      <w:lvlText w:val="%9."/>
      <w:lvlJc w:val="left"/>
      <w:pPr>
        <w:tabs>
          <w:tab w:val="num" w:pos="6480"/>
        </w:tabs>
        <w:ind w:left="6480" w:hanging="360"/>
      </w:pPr>
    </w:lvl>
  </w:abstractNum>
  <w:abstractNum w:abstractNumId="4" w15:restartNumberingAfterBreak="0">
    <w:nsid w:val="7B8F6DE7"/>
    <w:multiLevelType w:val="hybridMultilevel"/>
    <w:tmpl w:val="21D06EF8"/>
    <w:lvl w:ilvl="0" w:tplc="95B6CF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39F"/>
    <w:rsid w:val="00094AD5"/>
    <w:rsid w:val="001068D3"/>
    <w:rsid w:val="00120C27"/>
    <w:rsid w:val="001662A9"/>
    <w:rsid w:val="0019020B"/>
    <w:rsid w:val="0032285B"/>
    <w:rsid w:val="003A739F"/>
    <w:rsid w:val="003E1E28"/>
    <w:rsid w:val="005055A7"/>
    <w:rsid w:val="0065260C"/>
    <w:rsid w:val="00730FBF"/>
    <w:rsid w:val="00733731"/>
    <w:rsid w:val="007D66A3"/>
    <w:rsid w:val="00815510"/>
    <w:rsid w:val="0084292B"/>
    <w:rsid w:val="00855D60"/>
    <w:rsid w:val="00AA5848"/>
    <w:rsid w:val="00AD0BC1"/>
    <w:rsid w:val="00AF636F"/>
    <w:rsid w:val="00B5223C"/>
    <w:rsid w:val="00C136F1"/>
    <w:rsid w:val="00C76804"/>
    <w:rsid w:val="00C8018A"/>
    <w:rsid w:val="00D20C01"/>
    <w:rsid w:val="00D71662"/>
    <w:rsid w:val="00DE4E49"/>
    <w:rsid w:val="00E04E16"/>
    <w:rsid w:val="00E3270D"/>
    <w:rsid w:val="00EC6914"/>
    <w:rsid w:val="00EE3568"/>
    <w:rsid w:val="00F87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C5619"/>
  <w15:chartTrackingRefBased/>
  <w15:docId w15:val="{11543E26-683C-469C-92EA-8F01091D4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ighlight">
    <w:name w:val="highlight"/>
    <w:basedOn w:val="a0"/>
    <w:rsid w:val="003A739F"/>
  </w:style>
  <w:style w:type="paragraph" w:styleId="a3">
    <w:name w:val="List Paragraph"/>
    <w:basedOn w:val="a"/>
    <w:uiPriority w:val="34"/>
    <w:qFormat/>
    <w:rsid w:val="00E3270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1628597">
      <w:bodyDiv w:val="1"/>
      <w:marLeft w:val="0"/>
      <w:marRight w:val="0"/>
      <w:marTop w:val="0"/>
      <w:marBottom w:val="0"/>
      <w:divBdr>
        <w:top w:val="none" w:sz="0" w:space="0" w:color="auto"/>
        <w:left w:val="none" w:sz="0" w:space="0" w:color="auto"/>
        <w:bottom w:val="none" w:sz="0" w:space="0" w:color="auto"/>
        <w:right w:val="none" w:sz="0" w:space="0" w:color="auto"/>
      </w:divBdr>
      <w:divsChild>
        <w:div w:id="178507977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7927</TotalTime>
  <Pages>3</Pages>
  <Words>1026</Words>
  <Characters>5850</Characters>
  <Application>Microsoft Office Word</Application>
  <DocSecurity>0</DocSecurity>
  <Lines>48</Lines>
  <Paragraphs>13</Paragraphs>
  <ScaleCrop>false</ScaleCrop>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liyun.zheng_CRM-CMK</dc:creator>
  <cp:keywords/>
  <dc:description/>
  <cp:lastModifiedBy>liyun.zheng_CRM-CMK</cp:lastModifiedBy>
  <cp:revision>30</cp:revision>
  <dcterms:created xsi:type="dcterms:W3CDTF">2019-11-18T03:53:00Z</dcterms:created>
  <dcterms:modified xsi:type="dcterms:W3CDTF">2019-12-13T08:57:00Z</dcterms:modified>
</cp:coreProperties>
</file>