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25BB">
      <w:pPr>
        <w:pStyle w:val="2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印尼宠物 APP 兽医入驻资质调研</w:t>
      </w:r>
    </w:p>
    <w:p w14:paraId="1704A9B9">
      <w:pPr>
        <w:spacing w:before="0" w:after="200"/>
      </w:pPr>
      <w:r>
        <w:rPr>
          <w:rFonts w:ascii="Arial" w:hAnsi="Arial" w:eastAsia="Arial" w:cs="Arial"/>
          <w:color w:val="666666"/>
          <w:sz w:val="22"/>
          <w:szCs w:val="22"/>
        </w:rPr>
        <w:t>各平台兽医入驻核心资料对比</w:t>
      </w:r>
    </w:p>
    <w:tbl>
      <w:tblPr>
        <w:tblStyle w:val="11"/>
        <w:tblW w:w="138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10"/>
        <w:gridCol w:w="1357"/>
        <w:gridCol w:w="1512"/>
        <w:gridCol w:w="1460"/>
        <w:gridCol w:w="1240"/>
        <w:gridCol w:w="2095"/>
        <w:gridCol w:w="2522"/>
      </w:tblGrid>
      <w:tr w14:paraId="41F5218D">
        <w:trPr>
          <w:trHeight w:val="0" w:hRule="atLeast"/>
          <w:tblHeader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DBE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资料项目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67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Halodoc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A9D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Pawly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E08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Satwagia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5CE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ILoPet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348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NuVet/Nutricell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7B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42F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Tailtopia资质建议</w:t>
            </w:r>
          </w:p>
        </w:tc>
      </w:tr>
      <w:tr w14:paraId="0318C701">
        <w:trPr>
          <w:trHeight w:val="585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217F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KTP 身份证</w:t>
            </w:r>
          </w:p>
          <w:p w14:paraId="172FB1AF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Kartu Tanda Penduduk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7AC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FEE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3BC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287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DE9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AF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</w:tr>
      <w:tr w14:paraId="0893FB8A">
        <w:trPr>
          <w:trHeight w:val="782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9FF2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SIPDH 执业许可</w:t>
            </w:r>
          </w:p>
          <w:p w14:paraId="4AD0641E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Surat Izin Praktik Dokter Hewan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D21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0FB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410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065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17E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可能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39C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</w:tr>
      <w:tr w14:paraId="1490AE89">
        <w:trPr>
          <w:trHeight w:val="722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D9D3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兽医学位证书</w:t>
            </w:r>
          </w:p>
          <w:p w14:paraId="24B67395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Ijazah Dokter Hewan (drh.)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C88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669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299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0AE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D97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3FB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</w:tr>
      <w:tr w14:paraId="0ADC5729">
        <w:trPr>
          <w:trHeight w:val="585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C06E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PDHI 会员证明</w:t>
            </w:r>
          </w:p>
          <w:p w14:paraId="6377CDB9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Kartu Anggota PDHI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240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AB2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未明确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4CB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建议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4BB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C92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A5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eastAsia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eastAsia="宋体"/>
                <w:color w:val="0000FF"/>
                <w:sz w:val="20"/>
                <w:szCs w:val="20"/>
                <w:lang w:val="en-US" w:eastAsia="zh-CN"/>
              </w:rPr>
              <w:t>可作为选填</w:t>
            </w:r>
          </w:p>
        </w:tc>
      </w:tr>
      <w:tr w14:paraId="50D417BC">
        <w:trPr>
          <w:trHeight w:val="637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939D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能力认证证书</w:t>
            </w:r>
          </w:p>
          <w:p w14:paraId="749AED4B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Sertifikat Kompetensi Dokter Hewan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4FF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882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可能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42F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未明确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A5E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153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A3B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color w:val="0000FF"/>
                <w:sz w:val="20"/>
                <w:szCs w:val="20"/>
              </w:rPr>
            </w:pPr>
            <w:r>
              <w:rPr>
                <w:rFonts w:hint="eastAsia" w:ascii="Arial" w:eastAsia="宋体"/>
                <w:color w:val="0000FF"/>
                <w:sz w:val="20"/>
                <w:szCs w:val="20"/>
                <w:lang w:val="en-US" w:eastAsia="zh-CN"/>
              </w:rPr>
              <w:t>可作为选填</w:t>
            </w:r>
          </w:p>
        </w:tc>
      </w:tr>
      <w:tr w14:paraId="2C7E4B53">
        <w:trPr>
          <w:trHeight w:val="767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42B3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诊所执照</w:t>
            </w:r>
          </w:p>
          <w:p w14:paraId="5E6C7A3C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Izin Klinik Hewan / NIB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63D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如有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14AE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诊所必须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7DD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未明确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FE0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0C6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A46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  <w:szCs w:val="20"/>
              </w:rPr>
            </w:pPr>
            <w:r>
              <w:rPr>
                <w:rFonts w:hint="eastAsia" w:ascii="Arial" w:eastAsia="宋体"/>
                <w:color w:val="0000FF"/>
                <w:sz w:val="20"/>
                <w:szCs w:val="20"/>
                <w:lang w:val="en-US" w:eastAsia="zh-CN"/>
              </w:rPr>
              <w:t>可作为选填</w:t>
            </w:r>
          </w:p>
        </w:tc>
      </w:tr>
      <w:tr w14:paraId="7578E0A0">
        <w:trPr>
          <w:trHeight w:val="745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EE43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银行账户</w:t>
            </w:r>
          </w:p>
          <w:p w14:paraId="7090D405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Rekening Bank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0F9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378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C92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DF9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384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9D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eastAsia="宋体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eastAsia="Arial"/>
                <w:sz w:val="20"/>
                <w:szCs w:val="20"/>
                <w:lang w:val="en-US"/>
              </w:rPr>
              <w:t>X</w:t>
            </w:r>
            <w:r>
              <w:rPr>
                <w:rFonts w:hint="eastAsia" w:ascii="Arial" w:eastAsia="宋体"/>
                <w:sz w:val="20"/>
                <w:szCs w:val="20"/>
                <w:lang w:val="en-US" w:eastAsia="zh-CN"/>
              </w:rPr>
              <w:t xml:space="preserve"> 如果不做线上结款，暂时不放</w:t>
            </w:r>
          </w:p>
        </w:tc>
      </w:tr>
      <w:tr w14:paraId="62FB02C7">
        <w:trPr>
          <w:trHeight w:val="694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0AFD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专业照片</w:t>
            </w:r>
          </w:p>
          <w:p w14:paraId="71E91C32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Foto Profesi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550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EA4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DC8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必须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80D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推测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2CF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448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color w:val="0000FF"/>
                <w:sz w:val="20"/>
                <w:szCs w:val="20"/>
              </w:rPr>
            </w:pPr>
            <w:r>
              <w:rPr>
                <w:rFonts w:hint="eastAsia" w:ascii="Arial" w:eastAsia="宋体"/>
                <w:color w:val="0000FF"/>
                <w:sz w:val="20"/>
                <w:szCs w:val="20"/>
                <w:lang w:val="en-US" w:eastAsia="zh-CN"/>
              </w:rPr>
              <w:t>可作为选填</w:t>
            </w:r>
          </w:p>
        </w:tc>
      </w:tr>
      <w:tr w14:paraId="14199DFE">
        <w:trPr>
          <w:trHeight w:val="691" w:hRule="atLeast"/>
          <w:jc w:val="center"/>
        </w:trPr>
        <w:tc>
          <w:tcPr>
            <w:tcW w:w="37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DD1E">
            <w:pPr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</w:rPr>
              <w:t>专长/标签设置</w:t>
            </w:r>
          </w:p>
          <w:p w14:paraId="5E247E30">
            <w:pPr>
              <w:snapToGrid w:val="0"/>
              <w:spacing w:before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77"/>
                <w:sz w:val="20"/>
                <w:szCs w:val="20"/>
              </w:rPr>
              <w:t>Keahlian / Tag Spesialisasi</w:t>
            </w:r>
          </w:p>
        </w:tc>
        <w:tc>
          <w:tcPr>
            <w:tcW w:w="13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60B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较少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35A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支持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647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1D7044"/>
                <w:sz w:val="20"/>
                <w:szCs w:val="20"/>
              </w:rPr>
              <w:t>✓ 支持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4EE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— 未知</w:t>
            </w:r>
          </w:p>
        </w:tc>
        <w:tc>
          <w:tcPr>
            <w:tcW w:w="20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82D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olor w:val="7B5800"/>
                <w:sz w:val="20"/>
                <w:szCs w:val="20"/>
              </w:rPr>
              <w:t>~ 营养专项</w:t>
            </w:r>
          </w:p>
        </w:tc>
        <w:tc>
          <w:tcPr>
            <w:tcW w:w="25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5F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eastAsia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eastAsia="宋体"/>
                <w:color w:val="0000FF"/>
                <w:sz w:val="20"/>
                <w:szCs w:val="20"/>
                <w:lang w:val="en-US" w:eastAsia="zh-CN"/>
              </w:rPr>
              <w:t>可作为选填</w:t>
            </w:r>
          </w:p>
        </w:tc>
      </w:tr>
    </w:tbl>
    <w:p w14:paraId="17FAED20">
      <w:pPr>
        <w:spacing w:before="160" w:after="240"/>
      </w:pPr>
      <w:r>
        <w:rPr>
          <w:rFonts w:ascii="Arial" w:hAnsi="Arial" w:eastAsia="Arial" w:cs="Arial"/>
          <w:b/>
          <w:bCs/>
          <w:sz w:val="20"/>
          <w:szCs w:val="20"/>
        </w:rPr>
        <w:t>图例：</w:t>
      </w:r>
      <w:r>
        <w:rPr>
          <w:rFonts w:ascii="Arial" w:hAnsi="Arial" w:eastAsia="Arial" w:cs="Arial"/>
          <w:color w:val="1D7044"/>
          <w:sz w:val="20"/>
          <w:szCs w:val="20"/>
        </w:rPr>
        <w:t xml:space="preserve">  ✓ 必须  </w:t>
      </w:r>
      <w:r>
        <w:rPr>
          <w:rFonts w:ascii="Arial" w:hAnsi="Arial" w:eastAsia="Arial" w:cs="Arial"/>
          <w:color w:val="666666"/>
          <w:sz w:val="20"/>
          <w:szCs w:val="20"/>
        </w:rPr>
        <w:t xml:space="preserve">= 明确要求；  </w:t>
      </w:r>
      <w:r>
        <w:rPr>
          <w:rFonts w:ascii="Arial" w:hAnsi="Arial" w:eastAsia="Arial" w:cs="Arial"/>
          <w:color w:val="7B5800"/>
          <w:sz w:val="20"/>
          <w:szCs w:val="20"/>
        </w:rPr>
        <w:t xml:space="preserve">~ 推测/可能  </w:t>
      </w:r>
      <w:r>
        <w:rPr>
          <w:rFonts w:ascii="Arial" w:hAnsi="Arial" w:eastAsia="Arial" w:cs="Arial"/>
          <w:color w:val="666666"/>
          <w:sz w:val="20"/>
          <w:szCs w:val="20"/>
        </w:rPr>
        <w:t xml:space="preserve">= 基于行业惯例推断；  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— 未知/未明确  </w:t>
      </w:r>
      <w:r>
        <w:rPr>
          <w:rFonts w:ascii="Arial" w:hAnsi="Arial" w:eastAsia="Arial" w:cs="Arial"/>
          <w:color w:val="666666"/>
          <w:sz w:val="20"/>
          <w:szCs w:val="20"/>
        </w:rPr>
        <w:t>= 无公开信息</w:t>
      </w:r>
    </w:p>
    <w:p w14:paraId="4651E8C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一、印尼兽医入驻的核心证件体系</w:t>
      </w:r>
    </w:p>
    <w:p w14:paraId="04186A55">
      <w:pPr>
        <w:spacing w:before="80" w:after="120"/>
      </w:pPr>
      <w:r>
        <w:rPr>
          <w:rFonts w:ascii="Arial" w:hAnsi="Arial" w:eastAsia="Arial" w:cs="Arial"/>
          <w:sz w:val="22"/>
          <w:szCs w:val="22"/>
        </w:rPr>
        <w:t>所有正规平台均围绕同一套印尼法律框架要求文件：</w:t>
      </w:r>
    </w:p>
    <w:p w14:paraId="1AC75B8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SIPDH（Surat Izin Praktik Dokter Hewan）：兽医在印尼合法执业的核心许可证，相当于执业资格证，由当地政府（Dinas Pertanian/Peternakan）颁发。</w:t>
      </w:r>
    </w:p>
    <w:p w14:paraId="4E1A005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PDHI（Perhimpunan Dokter Hewan Indonesia）：印尼兽医协会，类似行业公会，Halodoc 等平台要求提供会员证明。</w:t>
      </w:r>
    </w:p>
    <w:p w14:paraId="7200822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drh. 学位：印尼兽医的正式学位头衔，是印尼兽医资质的学历证明要求。</w:t>
      </w:r>
    </w:p>
    <w:p w14:paraId="64095F6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KTP：印尼居民身份证，所有平台必须提交，用于实名核验。</w:t>
      </w:r>
    </w:p>
    <w:p w14:paraId="1228CEE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二、各平台差异要点</w:t>
      </w:r>
    </w:p>
    <w:p w14:paraId="07E3DF2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Halodoc：审核最严格，兽医板块沿用人类医生审核标准，会主动核验 SIPDH 编号真实性，通常需 3–7 个工作日。</w:t>
      </w:r>
    </w:p>
    <w:p w14:paraId="3B0A8D8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Pawly：最贴近宠物行业实际，区分「个人兽医」、「诊所」、「上门服务」三种入驻模式，诊所模式需额外提交机构许可文件，资料最为公开透明。</w:t>
      </w:r>
    </w:p>
    <w:p w14:paraId="41E29C2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Satwagia：特色在于专长标签系统，兽医可精细标注擅长的动物种类（犬/猫/异宠）和诊疗领域（内科/外科/营养等），有助于被精准匹配。</w:t>
      </w:r>
    </w:p>
    <w:p w14:paraId="2F68BCC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ILoPet：公开入驻信息很少，以上为基于行业通行标准推断，建议直接通过 App 内反馈或官方邮件确认。</w:t>
      </w:r>
    </w:p>
    <w:p w14:paraId="1AD5BF9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NuVet/Nutricell：品牌名需先核实，市场存在同名美国宠物保健品品牌，可能造成混淆，建议确认目标平台官网后再对接。</w:t>
      </w:r>
    </w:p>
    <w:p w14:paraId="577DDA0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三、实操建议</w:t>
      </w:r>
    </w:p>
    <w:p w14:paraId="2E526790">
      <w:pPr>
        <w:spacing w:before="80" w:after="120"/>
      </w:pPr>
      <w:r>
        <w:rPr>
          <w:rFonts w:ascii="Arial" w:hAnsi="Arial" w:eastAsia="Arial" w:cs="Arial"/>
          <w:sz w:val="22"/>
          <w:szCs w:val="22"/>
        </w:rPr>
        <w:t>如需参考行业标准或建立类似入驻体系，建议重点参考以下两个平台：</w:t>
      </w:r>
    </w:p>
    <w:p w14:paraId="673F468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Pawly：入驻流程最成熟，公开透明，且对多种兽医角色均有清晰规范，最具参考价值。</w:t>
      </w:r>
    </w:p>
    <w:p w14:paraId="71C43D2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Halodoc：代表综合医疗平台的严格审核标准，可参考其证件核验流程设计。</w:t>
      </w:r>
    </w:p>
    <w:p w14:paraId="6EA3A869">
      <w:pPr>
        <w:spacing w:before="80" w:after="120"/>
      </w:pPr>
      <w:r>
        <w:rPr>
          <w:rFonts w:ascii="Arial" w:hAnsi="Arial" w:eastAsia="Arial" w:cs="Arial"/>
          <w:sz w:val="22"/>
          <w:szCs w:val="22"/>
        </w:rPr>
        <w:t>注：以上信息基于公开资料、用户反馈及行业调研整理，部分平台（尤其 ILoPet、NuVet/Nutricell）公开信息有限，标注置信度供参考。建议直接联系各平台官方确认最新要求。</w:t>
      </w:r>
      <w:bookmarkStart w:id="0" w:name="_GoBack"/>
      <w:bookmarkEnd w:id="0"/>
    </w:p>
    <w:sectPr>
      <w:pgSz w:w="1584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64515"/>
    <w:multiLevelType w:val="singleLevel"/>
    <w:tmpl w:val="F9964515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DF728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moonsea</cp:lastModifiedBy>
  <dcterms:modified xsi:type="dcterms:W3CDTF">2026-06-26T13:06:35Z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B6C0F47E86CB6478DB083E6A2B4883AB_42</vt:lpwstr>
  </property>
</Properties>
</file>