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118"/>
        <w:gridCol w:w="3118"/>
        <w:gridCol w:w="3118"/>
      </w:tblGrid>
      <w:tr>
        <w:tc>
          <w:tcPr>
            <w:tcW w:type="dxa" w:w="3118"/>
          </w:tcPr>
          <w:p>
            <w:pPr>
              <w:ind w:firstLine="0"/>
              <w:jc w:val="center"/>
            </w:pPr>
            <w:r>
              <w:drawing>
                <wp:inline xmlns:a="http://schemas.openxmlformats.org/drawingml/2006/main" xmlns:pic="http://schemas.openxmlformats.org/drawingml/2006/picture">
                  <wp:extent cx="1332000" cy="85138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32000" cy="851381"/>
                          </a:xfrm>
                          <a:prstGeom prst="rect"/>
                        </pic:spPr>
                      </pic:pic>
                    </a:graphicData>
                  </a:graphic>
                </wp:inline>
              </w:drawing>
            </w:r>
          </w:p>
        </w:tc>
        <w:tc>
          <w:tcPr>
            <w:tcW w:type="dxa" w:w="3118"/>
          </w:tcPr>
          <w:p>
            <w:pPr>
              <w:ind w:firstLine="0"/>
              <w:jc w:val="center"/>
            </w:pPr>
            <w:r>
              <w:drawing>
                <wp:inline xmlns:a="http://schemas.openxmlformats.org/drawingml/2006/main" xmlns:pic="http://schemas.openxmlformats.org/drawingml/2006/picture">
                  <wp:extent cx="1044000" cy="104400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44000" cy="1044000"/>
                          </a:xfrm>
                          <a:prstGeom prst="rect"/>
                        </pic:spPr>
                      </pic:pic>
                    </a:graphicData>
                  </a:graphic>
                </wp:inline>
              </w:drawing>
            </w:r>
          </w:p>
        </w:tc>
        <w:tc>
          <w:tcPr>
            <w:tcW w:type="dxa" w:w="3118"/>
          </w:tcPr>
          <w:p>
            <w:pPr>
              <w:ind w:firstLine="0"/>
              <w:jc w:val="center"/>
            </w:pPr>
            <w:r>
              <w:drawing>
                <wp:inline xmlns:a="http://schemas.openxmlformats.org/drawingml/2006/main" xmlns:pic="http://schemas.openxmlformats.org/drawingml/2006/picture">
                  <wp:extent cx="1044000" cy="1044000"/>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1044000" cy="1044000"/>
                          </a:xfrm>
                          <a:prstGeom prst="rect"/>
                        </pic:spPr>
                      </pic:pic>
                    </a:graphicData>
                  </a:graphic>
                </wp:inline>
              </w:drawing>
            </w:r>
          </w:p>
        </w:tc>
      </w:tr>
    </w:tbl>
    <w:p>
      <w:pPr>
        <w:spacing w:before="1880" w:after="160"/>
        <w:ind w:firstLine="0"/>
        <w:jc w:val="center"/>
      </w:pPr>
      <w:r>
        <w:rPr>
          <w:rFonts w:ascii="Times New Roman" w:hAnsi="Times New Roman" w:eastAsia="黑体"/>
          <w:b/>
          <w:color w:val="000000"/>
          <w:sz w:val="32"/>
        </w:rPr>
        <w:t>中国研究生创新实践系列大赛</w:t>
      </w:r>
    </w:p>
    <w:p>
      <w:pPr>
        <w:spacing w:before="0" w:after="160"/>
        <w:ind w:firstLine="0"/>
        <w:jc w:val="center"/>
      </w:pPr>
      <w:r>
        <w:rPr>
          <w:rFonts w:ascii="Times New Roman" w:hAnsi="Times New Roman" w:eastAsia="黑体"/>
          <w:b/>
          <w:color w:val="000000"/>
          <w:sz w:val="32"/>
        </w:rPr>
        <w:t>“华为杯”第二十三届中国研究生</w:t>
      </w:r>
    </w:p>
    <w:p>
      <w:pPr>
        <w:spacing w:before="0" w:after="0"/>
        <w:ind w:firstLine="0"/>
        <w:jc w:val="center"/>
      </w:pPr>
      <w:r>
        <w:rPr>
          <w:rFonts w:ascii="Times New Roman" w:hAnsi="Times New Roman" w:eastAsia="黑体"/>
          <w:b/>
          <w:color w:val="000000"/>
          <w:sz w:val="32"/>
        </w:rPr>
        <w:t>数学建模竞赛</w:t>
      </w:r>
    </w:p>
    <w:p>
      <w:pPr>
        <w:spacing w:before="2200" w:after="400"/>
        <w:ind w:firstLine="0"/>
        <w:jc w:val="center"/>
      </w:pPr>
      <w:r>
        <w:rPr>
          <w:rFonts w:ascii="Times New Roman" w:hAnsi="Times New Roman" w:eastAsia="宋体"/>
          <w:b/>
          <w:color w:val="000000"/>
          <w:sz w:val="28"/>
        </w:rPr>
        <w:t>E 题</w:t>
      </w:r>
    </w:p>
    <w:p>
      <w:pPr>
        <w:spacing w:before="0" w:after="0"/>
        <w:ind w:firstLine="0"/>
        <w:jc w:val="center"/>
      </w:pPr>
      <w:r>
        <w:rPr>
          <w:rFonts w:ascii="Times New Roman" w:hAnsi="Times New Roman" w:eastAsia="黑体"/>
          <w:b/>
          <w:color w:val="000000"/>
          <w:sz w:val="32"/>
        </w:rPr>
        <w:t>复杂场景下多模态情感预测的数学建模与算法设计</w:t>
      </w:r>
    </w:p>
    <w:p>
      <w:pPr>
        <w:sectPr>
          <w:pgSz w:w="11906" w:h="16838"/>
          <w:pgMar w:top="1701" w:right="1276" w:bottom="992" w:left="1276" w:header="454" w:footer="992" w:gutter="0"/>
          <w:cols w:space="720"/>
          <w:pgNumType w:start="1"/>
          <w:titlePg/>
          <w:docGrid w:linePitch="360"/>
        </w:sectPr>
      </w:pPr>
    </w:p>
    <w:p>
      <w:pPr>
        <w:spacing w:before="0" w:after="120"/>
        <w:ind w:firstLine="0"/>
        <w:jc w:val="center"/>
      </w:pPr>
      <w:r>
        <w:rPr>
          <w:rFonts w:ascii="Times New Roman" w:hAnsi="Times New Roman" w:eastAsia="黑体"/>
          <w:b/>
          <w:color w:val="000000"/>
          <w:sz w:val="28"/>
        </w:rPr>
        <w:t>中国研究生创新实践系列大赛</w:t>
      </w:r>
    </w:p>
    <w:p>
      <w:pPr>
        <w:spacing w:before="0" w:after="400"/>
        <w:ind w:firstLine="0"/>
        <w:jc w:val="center"/>
      </w:pPr>
      <w:r>
        <w:rPr>
          <w:rFonts w:ascii="Times New Roman" w:hAnsi="Times New Roman" w:eastAsia="黑体"/>
          <w:b/>
          <w:color w:val="000000"/>
          <w:sz w:val="28"/>
        </w:rPr>
        <w:t>“华为杯”第二十三届中国研究生数学建模竞赛</w:t>
      </w:r>
    </w:p>
    <w:p>
      <w:pPr>
        <w:pStyle w:val="Title"/>
        <w:jc w:val="center"/>
      </w:pPr>
      <w:r>
        <w:rPr>
          <w:rFonts w:ascii="Times New Roman" w:hAnsi="Times New Roman" w:eastAsia="黑体"/>
          <w:b/>
          <w:color w:val="000000"/>
          <w:sz w:val="32"/>
        </w:rPr>
        <w:t>复杂场景下多模态情感预测的数学建模与算法设计</w:t>
      </w:r>
    </w:p>
    <w:p>
      <w:pPr>
        <w:pStyle w:val="Heading1"/>
        <w:jc w:val="center"/>
      </w:pPr>
      <w:r>
        <w:rPr>
          <w:rFonts w:ascii="Times New Roman" w:hAnsi="Times New Roman" w:eastAsia="黑体"/>
          <w:b/>
          <w:color w:val="000000"/>
          <w:sz w:val="28"/>
        </w:rPr>
        <w:t>摘  要</w:t>
      </w:r>
    </w:p>
    <w:p>
      <w:pPr>
        <w:spacing w:after="0"/>
      </w:pPr>
      <w:r>
        <w:rPr>
          <w:rFonts w:ascii="Times New Roman" w:hAnsi="Times New Roman" w:eastAsia="宋体"/>
          <w:color w:val="000000"/>
          <w:sz w:val="24"/>
        </w:rPr>
        <w:t>针对原始视频三模态对齐、局部缺失下的情感预测和模型依据追溯三项任务，本文建立物理时间窗特征链与掩码感知预测链。问题一对附件1的100条视频分别提取768维文本、74维声学和35维视觉特征，以音轨有效时长划分50个等长时间窗；词级强制对齐只负责将转写词映射到物理时间，三模态分别记录有效掩码。初版Haar检测使39条视觉掩码全零；复核后采用320×180帧上的YuNet检测并在必要时并入Haar结果，视觉全无效样本降为4条，平均有效视觉窗由17.6增至43.1。</w:t>
      </w:r>
    </w:p>
    <w:p>
      <w:pPr>
        <w:spacing w:after="0"/>
      </w:pPr>
      <w:r>
        <w:rPr>
          <w:rFonts w:ascii="Times New Roman" w:hAnsi="Times New Roman" w:eastAsia="宋体"/>
          <w:color w:val="000000"/>
          <w:sz w:val="24"/>
        </w:rPr>
        <w:t>问题二使用附件2对齐特征，构建三支Transformer编码器、有效比例门控、三分类和强度回归双输出；训练包含连续片段缺失增强和仅作用于人工遮蔽位置的重建辅助项；单种子消融未显示该辅助项具有独立分类增益。经同一验证集拟合分类偏置后，验证集728条的Accuracy、Macro-F1、MAE、Pearson分别为0.6456、0.6406、0.5786、0.6700；冻结模型在附件2测试集727条上分别为0.6754、0.6485、0.6145、0.6912。文本缺失40%时验证Macro-F1为0.6033，语音或视觉缺失40%时分别为0.6447和0.6346。附件3输出30条预测，因无标签不报告其准确率。</w:t>
      </w:r>
    </w:p>
    <w:p>
      <w:pPr>
        <w:spacing w:after="0"/>
      </w:pPr>
      <w:r>
        <w:rPr>
          <w:rFonts w:ascii="Times New Roman" w:hAnsi="Times New Roman" w:eastAsia="宋体"/>
          <w:color w:val="000000"/>
          <w:sz w:val="24"/>
        </w:rPr>
        <w:t xml:space="preserve">问题三对同一部署模型枚举三个模态的八种保留组合，计算精确Shapley贡献；对全部有效内容位置（文本564、语音564、视觉534）逐个遮蔽，以原预测类别概率下降量排序局部证据。附件4的20条结果中，最大绝对影响模态为文本16条、语音2条、视觉2条；遮蔽候选集合的平均概率下降为0.1528，注意力候选为0.0771。解释仅表征模型对遮蔽的响应。三模态均输出可复核的局部证据：文本给出还原词、字符位置与CTC对齐的语音起止秒数，语音与视觉给出对齐槽时间窗与10 fps关键帧号，共1662个位置的单点遮蔽结果，并附逐条证据明细表。</w:t>
      </w:r>
    </w:p>
    <w:p>
      <w:pPr>
        <w:spacing w:after="0"/>
        <w:ind w:firstLine="0"/>
      </w:pPr>
      <w:r>
        <w:rPr>
          <w:rFonts w:ascii="Times New Roman" w:hAnsi="Times New Roman" w:eastAsia="宋体"/>
          <w:color w:val="000000"/>
          <w:sz w:val="24"/>
        </w:rPr>
        <w:t>关键词：多模态情感预测；物理时间对齐；局部模态缺失；掩码感知融合；Shapley归因</w:t>
      </w:r>
    </w:p>
    <w:p>
      <w:r>
        <w:br w:type="page"/>
      </w:r>
    </w:p>
    <w:p>
      <w:pPr>
        <w:pStyle w:val="Heading1"/>
        <w:jc w:val="center"/>
        <w:sectPr>
          <w:pgSz w:w="11906" w:h="16838"/>
          <w:pgMar w:top="1701" w:right="1276" w:bottom="992" w:left="1276" w:header="454" w:footer="992" w:gutter="0"/>
          <w:cols w:space="720"/>
          <w:docGrid w:linePitch="360"/>
        </w:sectPr>
      </w:pPr>
      <w:r>
        <w:rPr>
          <w:rFonts w:ascii="Times New Roman" w:hAnsi="Times New Roman" w:eastAsia="黑体"/>
          <w:b/>
          <w:color w:val="000000"/>
          <w:sz w:val="28"/>
        </w:rPr>
        <w:t>一 问题重述与数据协议</w:t>
      </w:r>
    </w:p>
    <w:p>
      <w:pPr>
        <w:pStyle w:val="Heading2"/>
      </w:pPr>
      <w:r>
        <w:rPr>
          <w:rFonts w:ascii="Times New Roman" w:hAnsi="Times New Roman" w:eastAsia="宋体"/>
          <w:b/>
          <w:color w:val="000000"/>
          <w:sz w:val="24"/>
        </w:rPr>
        <w:t>1.1 任务与数据</w:t>
      </w:r>
    </w:p>
    <w:p>
      <w:pPr>
        <w:spacing w:after="0"/>
      </w:pPr>
      <w:r>
        <w:rPr>
          <w:rFonts w:ascii="Times New Roman" w:hAnsi="Times New Roman" w:eastAsia="宋体"/>
          <w:b w:val="0"/>
          <w:color w:val="000000"/>
          <w:sz w:val="24"/>
        </w:rPr>
        <w:t>赛题以CMU-MOSEI系列数据为基础[1]。附件1用于自行建立原始视频特征与时间对齐流程；附件2的训练和验证划分用于问题二、三的参数学习和模型选择；附件3、4分别是无标签的局部缺失和解释专项推理集。问题一自提特征与附件2给定特征的提取算子不同，二者不能仅因维度相同就混用。</w:t>
      </w:r>
    </w:p>
    <w:p>
      <w:pPr>
        <w:keepNext/>
        <w:spacing w:after="80"/>
        <w:ind w:firstLine="0"/>
        <w:jc w:val="center"/>
      </w:pPr>
      <w:r>
        <w:rPr>
          <w:rFonts w:ascii="Times New Roman" w:hAnsi="Times New Roman" w:eastAsia="宋体"/>
          <w:b w:val="0"/>
          <w:color w:val="000000"/>
          <w:sz w:val="24"/>
        </w:rPr>
        <w:t>表1 数据范围与用途</w:t>
      </w:r>
    </w:p>
    <w:tbl>
      <w:tblPr>
        <w:tblStyle w:val="TableGrid"/>
        <w:tblW w:type="auto" w:w="0"/>
        <w:jc w:val="center"/>
        <w:tblLayout w:type="fixed"/>
        <w:tblLook w:firstColumn="1" w:firstRow="1" w:lastColumn="0" w:lastRow="0" w:noHBand="0" w:noVBand="1" w:val="04A0"/>
      </w:tblPr>
      <w:tblGrid>
        <w:gridCol w:w="1417"/>
        <w:gridCol w:w="2891"/>
        <w:gridCol w:w="5046"/>
      </w:tblGrid>
      <w:tr>
        <w:trPr>
          <w:tblHeader w:val="true"/>
        </w:trPr>
        <w:tc>
          <w:tcPr>
            <w:tcW w:type="dxa" w:w="141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数据</w:t>
            </w:r>
          </w:p>
        </w:tc>
        <w:tc>
          <w:tcPr>
            <w:tcW w:type="dxa" w:w="289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规模</w:t>
            </w:r>
          </w:p>
        </w:tc>
        <w:tc>
          <w:tcPr>
            <w:tcW w:type="dxa" w:w="5046"/>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用途</w:t>
            </w:r>
          </w:p>
        </w:tc>
      </w:tr>
      <w:tr>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附件1</w:t>
            </w:r>
          </w:p>
        </w:tc>
        <w:tc>
          <w:tcPr>
            <w:tcW w:type="dxa" w:w="289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100条视频，37个原视频ID</w:t>
            </w:r>
          </w:p>
        </w:tc>
        <w:tc>
          <w:tcPr>
            <w:tcW w:type="dxa" w:w="5046"/>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三模态自主提取、物理时间对齐</w:t>
            </w:r>
          </w:p>
        </w:tc>
      </w:tr>
      <w:tr>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附件2</w:t>
            </w:r>
          </w:p>
        </w:tc>
        <w:tc>
          <w:tcPr>
            <w:tcW w:type="dxa" w:w="289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train 3395；valid 728；test 727</w:t>
            </w:r>
          </w:p>
        </w:tc>
        <w:tc>
          <w:tcPr>
            <w:tcW w:type="dxa" w:w="5046"/>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训练、选择及冻结后的离线检验</w:t>
            </w:r>
          </w:p>
        </w:tc>
      </w:tr>
      <w:tr>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附件3</w:t>
            </w:r>
          </w:p>
        </w:tc>
        <w:tc>
          <w:tcPr>
            <w:tcW w:type="dxa" w:w="289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30条无标签样本</w:t>
            </w:r>
          </w:p>
        </w:tc>
        <w:tc>
          <w:tcPr>
            <w:tcW w:type="dxa" w:w="5046"/>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问题二最终预测</w:t>
            </w:r>
          </w:p>
        </w:tc>
      </w:tr>
      <w:tr>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附件4</w:t>
            </w:r>
          </w:p>
        </w:tc>
        <w:tc>
          <w:tcPr>
            <w:tcW w:type="dxa" w:w="289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20条无标签样本</w:t>
            </w:r>
          </w:p>
        </w:tc>
        <w:tc>
          <w:tcPr>
            <w:tcW w:type="dxa" w:w="5046"/>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问题三最终预测与解释</w:t>
            </w:r>
          </w:p>
        </w:tc>
      </w:tr>
    </w:tbl>
    <w:p>
      <w:pPr>
        <w:pStyle w:val="Heading2"/>
      </w:pPr>
      <w:r>
        <w:rPr>
          <w:rFonts w:ascii="Times New Roman" w:hAnsi="Times New Roman" w:eastAsia="宋体"/>
          <w:b/>
          <w:color w:val="000000"/>
          <w:sz w:val="24"/>
        </w:rPr>
        <w:t>1.2 标签、评价与数据边界</w:t>
      </w:r>
    </w:p>
    <w:p>
      <w:pPr>
        <w:spacing w:after="0"/>
      </w:pPr>
      <w:r>
        <w:rPr>
          <w:rFonts w:ascii="Times New Roman" w:hAnsi="Times New Roman" w:eastAsia="宋体"/>
          <w:b w:val="0"/>
          <w:color w:val="000000"/>
          <w:sz w:val="24"/>
        </w:rPr>
        <w:t>连续情感强度y属于[-3,3]。离散真值严格按y&lt;0、y=0、y&gt;0划为Negative、Neutral、Positive，0只属于中性。分类报告Accuracy和三类等权的Macro-F1，回归报告MAE和Pearson相关系数。分类头与回归头独立输出，若离散极性与连续符号相反，仅标记方向冲突而不篡改预测。验证集用于选轮次与分类偏置，测试划分只作冻结后的离线评价；附件3、4无标签，不用于调参或计算正确率。</w:t>
      </w:r>
    </w:p>
    <w:p>
      <w:pPr>
        <w:tabs>
          <w:tab w:pos="9071" w:val="right"/>
        </w:tabs>
        <w:spacing w:before="100" w:after="100"/>
        <w:ind w:firstLine="0"/>
        <w:jc w:val="center"/>
      </w:pP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f>
          <m:fPr>
            <m:type m:val="bar"/>
          </m:fPr>
          <m:num>
            <m:sSub>
              <m:e>
                <m:r>
                  <m:t>N</m:t>
                </m:r>
              </m:e>
              <m:sub>
                <m:r>
                  <m:rPr>
                    <m:sty m:val="p"/>
                  </m:rPr>
                  <m:t>c</m:t>
                </m:r>
                <m:r>
                  <m:rPr>
                    <m:sty m:val="p"/>
                  </m:rPr>
                  <m:t>o</m:t>
                </m:r>
                <m:r>
                  <m:rPr>
                    <m:sty m:val="p"/>
                  </m:rPr>
                  <m:t>r</m:t>
                </m:r>
                <m:r>
                  <m:rPr>
                    <m:sty m:val="p"/>
                  </m:rPr>
                  <m:t>r</m:t>
                </m:r>
                <m:r>
                  <m:rPr>
                    <m:sty m:val="p"/>
                  </m:rPr>
                  <m:t>e</m:t>
                </m:r>
                <m:r>
                  <m:rPr>
                    <m:sty m:val="p"/>
                  </m:rPr>
                  <m:t>c</m:t>
                </m:r>
                <m:r>
                  <m:rPr>
                    <m:sty m:val="p"/>
                  </m:rPr>
                  <m:t>t</m:t>
                </m:r>
              </m:sub>
            </m:sSub>
          </m:num>
          <m:den>
            <m:r>
              <m:t>N</m:t>
            </m:r>
          </m:den>
        </m:f>
        <m:r>
          <m:rPr>
            <m:sty m:val="p"/>
          </m:rPr>
          <m:t>,</m:t>
        </m:r>
        <m:r>
          <m:t> </m:t>
        </m:r>
        <m:r>
          <m:rPr>
            <m:sty m:val="p"/>
          </m:rPr>
          <m:t>M</m:t>
        </m:r>
        <m:r>
          <m:rPr>
            <m:sty m:val="p"/>
          </m:rPr>
          <m:t>a</m:t>
        </m:r>
        <m:r>
          <m:rPr>
            <m:sty m:val="p"/>
          </m:rPr>
          <m:t>c</m:t>
        </m:r>
        <m:r>
          <m:rPr>
            <m:sty m:val="p"/>
          </m:rPr>
          <m:t>r</m:t>
        </m:r>
        <m:r>
          <m:rPr>
            <m:sty m:val="p"/>
          </m:rPr>
          <m:t>o</m:t>
        </m:r>
        <m:r>
          <m:rPr>
            <m:sty m:val="p"/>
          </m:rPr>
          <m:t>F</m:t>
        </m:r>
        <m:r>
          <m:rPr>
            <m:sty m:val="p"/>
          </m:rPr>
          <m:t>1</m:t>
        </m:r>
        <m:r>
          <m:rPr>
            <m:sty m:val="p"/>
          </m:rPr>
          <m:t>=</m:t>
        </m:r>
        <m:f>
          <m:fPr>
            <m:type m:val="bar"/>
          </m:fPr>
          <m:num>
            <m:r>
              <m:t>1</m:t>
            </m:r>
          </m:num>
          <m:den>
            <m:r>
              <m:t>3</m:t>
            </m:r>
          </m:den>
        </m:f>
        <m:nary>
          <m:naryPr>
            <m:chr m:val="∑"/>
            <m:limLoc m:val="undOvr"/>
            <m:subHide m:val="0"/>
            <m:supHide m:val="1"/>
          </m:naryPr>
          <m:sub>
            <m:r>
              <m:t>c</m:t>
            </m:r>
            <m:r>
              <m:rPr>
                <m:sty m:val="p"/>
              </m:rPr>
              <m:t>∈</m:t>
            </m:r>
            <m:r>
              <m:rPr>
                <m:sty m:val="p"/>
              </m:rPr>
              <m:t>{</m:t>
            </m:r>
            <m:r>
              <m:rPr>
                <m:sty m:val="p"/>
              </m:rPr>
              <m:t>−</m:t>
            </m:r>
            <m:r>
              <m:rPr>
                <m:sty m:val="p"/>
              </m:rPr>
              <m:t>,</m:t>
            </m:r>
            <m:r>
              <m:t>0</m:t>
            </m:r>
            <m:r>
              <m:rPr>
                <m:sty m:val="p"/>
              </m:rPr>
              <m:t>,</m:t>
            </m:r>
            <m:r>
              <m:rPr>
                <m:sty m:val="p"/>
              </m:rPr>
              <m:t>+</m:t>
            </m:r>
            <m:r>
              <m:rPr>
                <m:sty m:val="p"/>
              </m:rPr>
              <m:t>}</m:t>
            </m:r>
          </m:sub>
          <m:sup>
            <m:r>
              <m:t>​</m:t>
            </m:r>
          </m:sup>
          <m:e>
            <m:r>
              <m:t>F</m:t>
            </m:r>
          </m:e>
        </m:nary>
        <m:sSub>
          <m:e>
            <m:r>
              <m:t>1</m:t>
            </m:r>
          </m:e>
          <m:sub>
            <m:r>
              <m:t>c</m:t>
            </m:r>
          </m:sub>
        </m:sSub>
      </m:oMath>
      <w:r>
        <w:rPr>
          <w:rFonts w:ascii="Times New Roman" w:hAnsi="Times New Roman" w:eastAsia="宋体"/>
          <w:b w:val="0"/>
          <w:color w:val="000000"/>
          <w:sz w:val="24"/>
        </w:rPr>
        <w:tab/>
        <w:t>(1)</w:t>
      </w:r>
    </w:p>
    <w:p>
      <w:pPr>
        <w:tabs>
          <w:tab w:pos="9071" w:val="right"/>
        </w:tabs>
        <w:spacing w:before="100" w:after="100"/>
        <w:ind w:firstLine="0"/>
        <w:jc w:val="center"/>
      </w:pPr>
      <m:oMath>
        <m:r>
          <m:rPr>
            <m:sty m:val="p"/>
          </m:rPr>
          <m:t>M</m:t>
        </m:r>
        <m:r>
          <m:rPr>
            <m:sty m:val="p"/>
          </m:rPr>
          <m:t>A</m:t>
        </m:r>
        <m:r>
          <m:rPr>
            <m:sty m:val="p"/>
          </m:rPr>
          <m:t>E</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r>
          <m:rPr>
            <m:sty m:val="p"/>
          </m:rPr>
          <m:t>,</m:t>
        </m:r>
        <m:r>
          <m:t> </m:t>
        </m:r>
        <m:r>
          <m:t>ρ</m:t>
        </m:r>
        <m:r>
          <m:rPr>
            <m:sty m:val="p"/>
          </m:rPr>
          <m:t>=</m:t>
        </m:r>
        <m:f>
          <m:fPr>
            <m:type m:val="bar"/>
          </m:fPr>
          <m:num>
            <m:r>
              <m:rPr>
                <m:nor/>
                <m:sty m:val="p"/>
              </m:rPr>
              <m:t>cov</m:t>
            </m:r>
            <m:r>
              <m:rPr>
                <m:sty m:val="p"/>
              </m:rPr>
              <m:t>(</m:t>
            </m:r>
            <m:r>
              <m:t>y</m:t>
            </m:r>
            <m:r>
              <m:rPr>
                <m:sty m:val="p"/>
              </m:rPr>
              <m:t>,</m:t>
            </m:r>
            <m:acc>
              <m:accPr>
                <m:chr m:val="̂"/>
              </m:accPr>
              <m:e>
                <m:r>
                  <m:t>y</m:t>
                </m:r>
              </m:e>
            </m:acc>
            <m:r>
              <m:rPr>
                <m:sty m:val="p"/>
              </m:rPr>
              <m:t>)</m:t>
            </m:r>
          </m:num>
          <m:den>
            <m:sSub>
              <m:e>
                <m:r>
                  <m:t>σ</m:t>
                </m:r>
              </m:e>
              <m:sub>
                <m:r>
                  <m:t>y</m:t>
                </m:r>
              </m:sub>
            </m:sSub>
            <m:sSub>
              <m:e>
                <m:r>
                  <m:t>σ</m:t>
                </m:r>
              </m:e>
              <m:sub>
                <m:acc>
                  <m:accPr>
                    <m:chr m:val="̂"/>
                  </m:accPr>
                  <m:e>
                    <m:r>
                      <m:t>y</m:t>
                    </m:r>
                  </m:e>
                </m:acc>
              </m:sub>
            </m:sSub>
          </m:den>
        </m:f>
      </m:oMath>
      <w:r>
        <w:rPr>
          <w:rFonts w:ascii="Times New Roman" w:hAnsi="Times New Roman" w:eastAsia="宋体"/>
          <w:b w:val="0"/>
          <w:color w:val="000000"/>
          <w:sz w:val="24"/>
        </w:rPr>
        <w:tab/>
        <w:t>(2)</w:t>
      </w:r>
    </w:p>
    <w:p>
      <w:pPr>
        <w:pStyle w:val="Heading1"/>
        <w:jc w:val="center"/>
      </w:pPr>
      <w:r>
        <w:rPr>
          <w:rFonts w:ascii="Times New Roman" w:hAnsi="Times New Roman" w:eastAsia="黑体"/>
          <w:b/>
          <w:color w:val="000000"/>
          <w:sz w:val="28"/>
        </w:rPr>
        <w:t>二 模型假设与符号</w:t>
      </w:r>
    </w:p>
    <w:p>
      <w:pPr>
        <w:spacing w:after="0"/>
      </w:pPr>
      <w:r>
        <w:rPr>
          <w:rFonts w:ascii="Times New Roman" w:hAnsi="Times New Roman" w:eastAsia="宋体"/>
          <w:b w:val="0"/>
          <w:color w:val="000000"/>
          <w:sz w:val="24"/>
        </w:rPr>
        <w:t>假设同一aligned文件内三个模态的位置具有赛题规定的对应关系；提供的转写与音轨大体一致，自动对齐所得时间为候选定位而非人工确认真值；数值全零行在建模中按“不可观测”的操作性规则处理，其成因可能是自然无脸、静音或人为缺失，不能仅凭零值判断。问题一的50个物理时间窗和附件2的50个词元存储位置是两套坐标，不能把位置j直接换算为jT/50秒。</w:t>
      </w:r>
    </w:p>
    <w:p>
      <w:pPr>
        <w:keepNext/>
        <w:spacing w:after="80"/>
        <w:ind w:firstLine="0"/>
        <w:jc w:val="center"/>
      </w:pPr>
      <w:r>
        <w:rPr>
          <w:rFonts w:ascii="Times New Roman" w:hAnsi="Times New Roman" w:eastAsia="宋体"/>
          <w:b w:val="0"/>
          <w:color w:val="000000"/>
          <w:sz w:val="24"/>
        </w:rPr>
        <w:t>表2 主要符号</w:t>
      </w:r>
    </w:p>
    <w:tbl>
      <w:tblPr>
        <w:tblStyle w:val="TableGrid"/>
        <w:tblW w:type="auto" w:w="0"/>
        <w:jc w:val="center"/>
        <w:tblLayout w:type="fixed"/>
        <w:tblLook w:firstColumn="1" w:firstRow="1" w:lastColumn="0" w:lastRow="0" w:noHBand="0" w:noVBand="1" w:val="04A0"/>
      </w:tblPr>
      <w:tblGrid>
        <w:gridCol w:w="2268"/>
        <w:gridCol w:w="7087"/>
      </w:tblGrid>
      <w:tr>
        <w:trPr>
          <w:tblHeader w:val="true"/>
        </w:trPr>
        <w:tc>
          <w:tcPr>
            <w:tcW w:type="dxa" w:w="2268"/>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符号</w:t>
            </w:r>
          </w:p>
        </w:tc>
        <w:tc>
          <w:tcPr>
            <w:tcW w:type="dxa" w:w="708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定义</w:t>
            </w:r>
          </w:p>
        </w:tc>
      </w:tr>
      <w:tr>
        <w:tc>
          <w:tcPr>
            <w:tcW w:type="dxa" w:w="226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m∈{T,A,V}</w:t>
            </w:r>
          </w:p>
        </w:tc>
        <w:tc>
          <w:tcPr>
            <w:tcW w:type="dxa" w:w="70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文本、语音、视觉模态</w:t>
            </w:r>
          </w:p>
        </w:tc>
      </w:tr>
      <w:tr>
        <w:tc>
          <w:tcPr>
            <w:tcW w:type="dxa" w:w="226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j=0,…,49</w:t>
            </w:r>
          </w:p>
        </w:tc>
        <w:tc>
          <w:tcPr>
            <w:tcW w:type="dxa" w:w="70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位置索引；问题一为物理时间窗，问题二、三为官方对齐位置</w:t>
            </w:r>
          </w:p>
        </w:tc>
      </w:tr>
      <w:tr>
        <w:tc>
          <w:tcPr>
            <w:tcW w:type="dxa" w:w="226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X_m_j</w:t>
            </w:r>
          </w:p>
        </w:tc>
        <w:tc>
          <w:tcPr>
            <w:tcW w:type="dxa" w:w="70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模态m在位置j的特征向量</w:t>
            </w:r>
          </w:p>
        </w:tc>
      </w:tr>
      <w:tr>
        <w:tc>
          <w:tcPr>
            <w:tcW w:type="dxa" w:w="226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S_m_j / O_m_j</w:t>
            </w:r>
          </w:p>
        </w:tc>
        <w:tc>
          <w:tcPr>
            <w:tcW w:type="dxa" w:w="70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内容支持掩码 / 实际观测掩码</w:t>
            </w:r>
          </w:p>
        </w:tc>
      </w:tr>
      <w:tr>
        <w:tc>
          <w:tcPr>
            <w:tcW w:type="dxa" w:w="226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M_m_j</w:t>
            </w:r>
          </w:p>
        </w:tc>
        <w:tc>
          <w:tcPr>
            <w:tcW w:type="dxa" w:w="70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进入模型的可用掩码，训练增广后可与O不同</w:t>
            </w:r>
          </w:p>
        </w:tc>
      </w:tr>
      <w:tr>
        <w:tc>
          <w:tcPr>
            <w:tcW w:type="dxa" w:w="226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p(c|x), ŷ</w:t>
            </w:r>
          </w:p>
        </w:tc>
        <w:tc>
          <w:tcPr>
            <w:tcW w:type="dxa" w:w="70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类别c的输出概率与连续强度预测</w:t>
            </w:r>
          </w:p>
        </w:tc>
      </w:tr>
    </w:tbl>
    <w:p>
      <w:pPr>
        <w:pStyle w:val="Heading1"/>
        <w:jc w:val="center"/>
      </w:pPr>
      <w:r>
        <w:rPr>
          <w:rFonts w:ascii="Times New Roman" w:hAnsi="Times New Roman" w:eastAsia="黑体"/>
          <w:b/>
          <w:color w:val="000000"/>
          <w:sz w:val="28"/>
        </w:rPr>
        <w:t>三 问题一 三模态特征提取与时间对齐</w:t>
      </w:r>
    </w:p>
    <w:p>
      <w:pPr>
        <w:pStyle w:val="Heading2"/>
      </w:pPr>
      <w:r>
        <w:rPr>
          <w:rFonts w:ascii="Times New Roman" w:hAnsi="Times New Roman" w:eastAsia="宋体"/>
          <w:b/>
          <w:color w:val="000000"/>
          <w:sz w:val="24"/>
        </w:rPr>
        <w:t>3.1 原始信号处理与特征定义</w:t>
      </w:r>
    </w:p>
    <w:p>
      <w:pPr>
        <w:spacing w:after="0"/>
      </w:pPr>
      <w:r>
        <w:rPr>
          <w:rFonts w:ascii="Times New Roman" w:hAnsi="Times New Roman" w:eastAsia="宋体"/>
          <w:b w:val="0"/>
          <w:color w:val="000000"/>
          <w:sz w:val="24"/>
        </w:rPr>
        <w:t>逐条读取附件1的视频及给定英文转写。文本经冻结BERT编码为768维子词表示[2]，利用字符偏移聚合到转写词；音轨解码为16 kHz单声道，以25 ms窗和10 ms步提取MFCC及其差分、能量、过零率、基频和谱形等共74维描述符；视频按10 fps抽帧，用人脸检测得到裁剪区域，再以7×5网格的相对像素变化形成35维视觉描述符。初版Haar在320×180帧上再缩至160×90并要求最小30×30人脸框，造成大量漏检；修订版在320×180帧上使用YuNet[6]，仅当其整段检出率低于旧版时并入Haar检出框。视觉量还可能响应头部运动、光照与裁剪变化，不能直接解释为面部动作单元。</w:t>
      </w:r>
    </w:p>
    <w:p>
      <w:pPr>
        <w:spacing w:after="0"/>
      </w:pPr>
      <w:r>
        <w:rPr>
          <w:rFonts w:ascii="Times New Roman" w:hAnsi="Times New Roman" w:eastAsia="宋体"/>
          <w:b w:val="0"/>
          <w:color w:val="000000"/>
          <w:sz w:val="24"/>
        </w:rPr>
        <w:t>冻结wav2vec2的CTC输出用于给定转写的单调强制对齐[3]，得到词起止秒数；它不是情感标签，也未用于问题二、三的监督训练。自动对齐置信分数和转写相似度只作为核验优先级。</w:t>
      </w:r>
    </w:p>
    <w:p>
      <w:pPr>
        <w:pStyle w:val="Heading2"/>
      </w:pPr>
      <w:r>
        <w:rPr>
          <w:rFonts w:ascii="Times New Roman" w:hAnsi="Times New Roman" w:eastAsia="宋体"/>
          <w:b/>
          <w:color w:val="000000"/>
          <w:sz w:val="24"/>
        </w:rPr>
        <w:t>3.2 统一物理时间窗和输出结构</w:t>
      </w:r>
    </w:p>
    <w:p>
      <w:pPr>
        <w:spacing w:after="0"/>
      </w:pPr>
      <w:r>
        <w:rPr>
          <w:rFonts w:ascii="Times New Roman" w:hAnsi="Times New Roman" w:eastAsia="宋体"/>
          <w:b w:val="0"/>
          <w:color w:val="000000"/>
          <w:sz w:val="24"/>
        </w:rPr>
        <w:t>对每条视频的解码音轨时长T，定义第j个时间窗I_j=[jT/50,(j+1)T/50)。音视频帧特征按落入窗内的有效帧取均值，文本词向量按词区间与窗的重叠时长加权。没有有效观测的窗置零，并令对应掩码为0；有有效观测时令掩码为1。每个NPZ保存text(50×768)、audio(50×74)、vision(50×35)、三个50位掩码、51个time_edges和schema_version。</w:t>
      </w:r>
    </w:p>
    <w:p>
      <w:pPr>
        <w:tabs>
          <w:tab w:pos="9071" w:val="right"/>
        </w:tabs>
        <w:spacing w:before="100" w:after="100"/>
        <w:ind w:firstLine="0"/>
        <w:jc w:val="center"/>
      </w:pPr>
      <m:oMath>
        <m:sSubSup>
          <m:e>
            <m:r>
              <m:t>X</m:t>
            </m:r>
          </m:e>
          <m:sub>
            <m:r>
              <m:t>j</m:t>
            </m:r>
          </m:sub>
          <m:sup>
            <m:r>
              <m:t>T</m:t>
            </m:r>
          </m:sup>
        </m:sSubSup>
        <m:r>
          <m:rPr>
            <m:sty m:val="p"/>
          </m:rPr>
          <m:t>=</m:t>
        </m:r>
        <m:f>
          <m:fPr>
            <m:type m:val="bar"/>
          </m:fPr>
          <m:num>
            <m:nary>
              <m:naryPr>
                <m:chr m:val="∑"/>
                <m:limLoc m:val="undOvr"/>
                <m:subHide m:val="0"/>
                <m:supHide m:val="1"/>
              </m:naryPr>
              <m:sub>
                <m:r>
                  <m:t>w</m:t>
                </m:r>
              </m:sub>
              <m:sup>
                <m:r>
                  <m:t>​</m:t>
                </m:r>
              </m:sup>
              <m:e>
                <m:r>
                  <m:rPr>
                    <m:sty m:val="p"/>
                  </m:rPr>
                  <m:t>|</m:t>
                </m:r>
              </m:e>
            </m:nary>
            <m:sSub>
              <m:e>
                <m:r>
                  <m:t>I</m:t>
                </m:r>
              </m:e>
              <m:sub>
                <m:r>
                  <m:t>j</m:t>
                </m:r>
              </m:sub>
            </m:sSub>
            <m:r>
              <m:rPr>
                <m:sty m:val="p"/>
              </m:rPr>
              <m:t>∩</m:t>
            </m:r>
            <m:sSub>
              <m:e>
                <m:r>
                  <m:t>J</m:t>
                </m:r>
              </m:e>
              <m:sub>
                <m:r>
                  <m:t>w</m:t>
                </m:r>
              </m:sub>
            </m:sSub>
            <m:r>
              <m:rPr>
                <m:sty m:val="p"/>
              </m:rPr>
              <m:t>|</m:t>
            </m:r>
            <m:r>
              <m:t>e</m:t>
            </m:r>
            <m:r>
              <m:rPr>
                <m:sty m:val="p"/>
              </m:rPr>
              <m:t>(</m:t>
            </m:r>
            <m:r>
              <m:t>w</m:t>
            </m:r>
            <m:r>
              <m:rPr>
                <m:sty m:val="p"/>
              </m:rPr>
              <m:t>)</m:t>
            </m:r>
          </m:num>
          <m:den>
            <m:nary>
              <m:naryPr>
                <m:chr m:val="∑"/>
                <m:limLoc m:val="undOvr"/>
                <m:subHide m:val="0"/>
                <m:supHide m:val="1"/>
              </m:naryPr>
              <m:sub>
                <m:r>
                  <m:t>w</m:t>
                </m:r>
              </m:sub>
              <m:sup>
                <m:r>
                  <m:t>​</m:t>
                </m:r>
              </m:sup>
              <m:e>
                <m:r>
                  <m:rPr>
                    <m:sty m:val="p"/>
                  </m:rPr>
                  <m:t>|</m:t>
                </m:r>
              </m:e>
            </m:nary>
            <m:sSub>
              <m:e>
                <m:r>
                  <m:t>I</m:t>
                </m:r>
              </m:e>
              <m:sub>
                <m:r>
                  <m:t>j</m:t>
                </m:r>
              </m:sub>
            </m:sSub>
            <m:r>
              <m:rPr>
                <m:sty m:val="p"/>
              </m:rPr>
              <m:t>∩</m:t>
            </m:r>
            <m:sSub>
              <m:e>
                <m:r>
                  <m:t>J</m:t>
                </m:r>
              </m:e>
              <m:sub>
                <m:r>
                  <m:t>w</m:t>
                </m:r>
              </m:sub>
            </m:sSub>
            <m:r>
              <m:rPr>
                <m:sty m:val="p"/>
              </m:rPr>
              <m:t>|</m:t>
            </m:r>
          </m:den>
        </m:f>
        <m:r>
          <m:rPr>
            <m:sty m:val="p"/>
          </m:rPr>
          <m:t>,</m:t>
        </m:r>
        <m:r>
          <m:t> </m:t>
        </m:r>
        <m:sSubSup>
          <m:e>
            <m:r>
              <m:t>M</m:t>
            </m:r>
          </m:e>
          <m:sub>
            <m:r>
              <m:t>j</m:t>
            </m:r>
          </m:sub>
          <m:sup>
            <m:r>
              <m:t>T</m:t>
            </m:r>
          </m:sup>
        </m:sSubSup>
        <m:r>
          <m:rPr>
            <m:sty m:val="p"/>
          </m:rPr>
          <m:t>=</m:t>
        </m:r>
        <m:r>
          <m:rPr>
            <m:sty m:val="b"/>
          </m:rPr>
          <m:t>1</m:t>
        </m:r>
        <m:r>
          <m:t>​</m:t>
        </m:r>
        <m:d>
          <m:dPr>
            <m:begChr m:val="{"/>
            <m:endChr m:val="}"/>
            <m:grow/>
          </m:dPr>
          <m:e>
            <m:nary>
              <m:naryPr>
                <m:chr m:val="∑"/>
                <m:limLoc m:val="undOvr"/>
                <m:subHide m:val="0"/>
                <m:supHide m:val="1"/>
              </m:naryPr>
              <m:sub>
                <m:r>
                  <m:t>w</m:t>
                </m:r>
              </m:sub>
              <m:sup>
                <m:r>
                  <m:t>​</m:t>
                </m:r>
              </m:sup>
              <m:e>
                <m:r>
                  <m:rPr>
                    <m:sty m:val="p"/>
                  </m:rPr>
                  <m:t>|</m:t>
                </m:r>
              </m:e>
            </m:nary>
            <m:sSub>
              <m:e>
                <m:r>
                  <m:t>I</m:t>
                </m:r>
              </m:e>
              <m:sub>
                <m:r>
                  <m:t>j</m:t>
                </m:r>
              </m:sub>
            </m:sSub>
            <m:r>
              <m:rPr>
                <m:sty m:val="p"/>
              </m:rPr>
              <m:t>∩</m:t>
            </m:r>
            <m:sSub>
              <m:e>
                <m:r>
                  <m:t>J</m:t>
                </m:r>
              </m:e>
              <m:sub>
                <m:r>
                  <m:t>w</m:t>
                </m:r>
              </m:sub>
            </m:sSub>
            <m:r>
              <m:rPr>
                <m:sty m:val="p"/>
              </m:rPr>
              <m:t>|</m:t>
            </m:r>
            <m:r>
              <m:rPr>
                <m:sty m:val="p"/>
              </m:rPr>
              <m:t>&gt;</m:t>
            </m:r>
            <m:r>
              <m:t>0</m:t>
            </m:r>
          </m:e>
        </m:d>
      </m:oMath>
      <w:r>
        <w:rPr>
          <w:rFonts w:ascii="Times New Roman" w:hAnsi="Times New Roman" w:eastAsia="宋体"/>
          <w:b w:val="0"/>
          <w:color w:val="000000"/>
          <w:sz w:val="24"/>
        </w:rPr>
        <w:tab/>
        <w:t>(3)</w:t>
      </w:r>
    </w:p>
    <w:p>
      <w:pPr>
        <w:spacing w:after="0"/>
      </w:pPr>
      <w:r>
        <w:rPr>
          <w:rFonts w:ascii="Times New Roman" w:hAnsi="Times New Roman" w:eastAsia="宋体"/>
          <w:b w:val="0"/>
          <w:color w:val="000000"/>
          <w:sz w:val="24"/>
        </w:rPr>
        <w:t>该结构覆盖100条样本，输出文件名与video_id、clip_id一一对应。总表中的“有效窗”表示至少有一次有效观测，并非音视频缺失率；“人脸检出率”是抽帧检测比例，并非情感识别准确率。</w:t>
      </w:r>
    </w:p>
    <w:p>
      <w:pPr>
        <w:pStyle w:val="Heading2"/>
      </w:pPr>
      <w:r>
        <w:rPr>
          <w:rFonts w:ascii="Times New Roman" w:hAnsi="Times New Roman" w:eastAsia="宋体"/>
          <w:b/>
          <w:color w:val="000000"/>
          <w:sz w:val="24"/>
        </w:rPr>
        <w:t>3.3 典型样本核验</w:t>
      </w:r>
    </w:p>
    <w:p>
      <w:pPr>
        <w:spacing w:after="0"/>
      </w:pPr>
      <w:r>
        <w:rPr>
          <w:rFonts w:ascii="Times New Roman" w:hAnsi="Times New Roman" w:eastAsia="宋体"/>
          <w:b w:val="0"/>
          <w:color w:val="000000"/>
          <w:sz w:val="24"/>
        </w:rPr>
        <w:t>选择视频-3g5yACwYnA、片段13。解码时长5.399 s，每窗0.108 s，文本/语音/视觉有效窗分别为32/50/50。自动对齐把“They’ve”定位在1.445–1.606 s，“solutions”定位在2.449–2.930 s；相交的窗内可回看对应音轨片段与视频帧。</w:t>
      </w:r>
    </w:p>
    <w:p>
      <w:pPr>
        <w:keepNext/>
        <w:ind w:firstLine="0"/>
        <w:jc w:val="center"/>
      </w:pPr>
      <w:r>
        <w:drawing>
          <wp:inline xmlns:a="http://schemas.openxmlformats.org/drawingml/2006/main" xmlns:pic="http://schemas.openxmlformats.org/drawingml/2006/picture">
            <wp:extent cx="5544000" cy="1663200"/>
            <wp:docPr id="4" name="Picture 4"/>
            <wp:cNvGraphicFramePr>
              <a:graphicFrameLocks noChangeAspect="1"/>
            </wp:cNvGraphicFramePr>
            <a:graphic>
              <a:graphicData uri="http://schemas.openxmlformats.org/drawingml/2006/picture">
                <pic:pic>
                  <pic:nvPicPr>
                    <pic:cNvPr id="0" name="p1_timeline.png"/>
                    <pic:cNvPicPr/>
                  </pic:nvPicPr>
                  <pic:blipFill>
                    <a:blip r:embed="rId13"/>
                    <a:stretch>
                      <a:fillRect/>
                    </a:stretch>
                  </pic:blipFill>
                  <pic:spPr>
                    <a:xfrm>
                      <a:off x="0" y="0"/>
                      <a:ext cx="5544000" cy="1663200"/>
                    </a:xfrm>
                    <a:prstGeom prst="rect"/>
                  </pic:spPr>
                </pic:pic>
              </a:graphicData>
            </a:graphic>
          </wp:inline>
        </w:drawing>
      </w:r>
    </w:p>
    <w:p>
      <w:pPr>
        <w:keepNext/>
        <w:spacing w:after="80"/>
        <w:ind w:firstLine="0"/>
        <w:jc w:val="center"/>
      </w:pPr>
      <w:r>
        <w:rPr>
          <w:rFonts w:ascii="Times New Roman" w:hAnsi="Times New Roman" w:eastAsia="宋体"/>
          <w:b w:val="0"/>
          <w:color w:val="000000"/>
          <w:sz w:val="24"/>
        </w:rPr>
        <w:t>图1 典型样本的物理时间窗、三模态有效位置与转写词候选时间</w:t>
      </w:r>
    </w:p>
    <w:p>
      <w:pPr>
        <w:keepNext/>
        <w:spacing w:after="80"/>
        <w:ind w:firstLine="0"/>
        <w:jc w:val="center"/>
      </w:pPr>
      <w:r>
        <w:rPr>
          <w:rFonts w:ascii="Times New Roman" w:hAnsi="Times New Roman" w:eastAsia="宋体"/>
          <w:b w:val="0"/>
          <w:color w:val="000000"/>
          <w:sz w:val="24"/>
        </w:rPr>
        <w:t>表3 典型样本的词与时间窗对应</w:t>
      </w:r>
    </w:p>
    <w:tbl>
      <w:tblPr>
        <w:tblStyle w:val="TableGrid"/>
        <w:tblW w:type="auto" w:w="0"/>
        <w:jc w:val="center"/>
        <w:tblLayout w:type="fixed"/>
        <w:tblLook w:firstColumn="1" w:firstRow="1" w:lastColumn="0" w:lastRow="0" w:noHBand="0" w:noVBand="1" w:val="04A0"/>
      </w:tblPr>
      <w:tblGrid>
        <w:gridCol w:w="1701"/>
        <w:gridCol w:w="1984"/>
        <w:gridCol w:w="1417"/>
        <w:gridCol w:w="4252"/>
      </w:tblGrid>
      <w:tr>
        <w:trPr>
          <w:tblHeader w:val="true"/>
        </w:trPr>
        <w:tc>
          <w:tcPr>
            <w:tcW w:type="dxa" w:w="170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转写词</w:t>
            </w:r>
          </w:p>
        </w:tc>
        <w:tc>
          <w:tcPr>
            <w:tcW w:type="dxa" w:w="198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CTC候选时段/s</w:t>
            </w:r>
          </w:p>
        </w:tc>
        <w:tc>
          <w:tcPr>
            <w:tcW w:type="dxa" w:w="141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相交窗索引</w:t>
            </w:r>
          </w:p>
        </w:tc>
        <w:tc>
          <w:tcPr>
            <w:tcW w:type="dxa" w:w="4252"/>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核验方式</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They've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1.445–1.606</w:t>
            </w:r>
          </w:p>
        </w:tc>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13–14</w:t>
            </w:r>
          </w:p>
        </w:tc>
        <w:tc>
          <w:tcPr>
            <w:tcW w:type="dxa" w:w="4252"/>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音轨、抽帧及三模态掩码共同核验</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solutions</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2.449–2.930</w:t>
            </w:r>
          </w:p>
        </w:tc>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22–27</w:t>
            </w:r>
          </w:p>
        </w:tc>
        <w:tc>
          <w:tcPr>
            <w:tcW w:type="dxa" w:w="4252"/>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音轨、抽帧及三模态掩码共同核验</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answers</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4.074–4.355</w:t>
            </w:r>
          </w:p>
        </w:tc>
        <w:tc>
          <w:tcPr>
            <w:tcW w:type="dxa" w:w="141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37–40</w:t>
            </w:r>
          </w:p>
        </w:tc>
        <w:tc>
          <w:tcPr>
            <w:tcW w:type="dxa" w:w="4252"/>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音轨、抽帧及三模态掩码共同核验</w:t>
            </w:r>
          </w:p>
        </w:tc>
      </w:tr>
    </w:tbl>
    <w:p>
      <w:pPr>
        <w:pStyle w:val="Heading2"/>
      </w:pPr>
      <w:r>
        <w:rPr>
          <w:rFonts w:ascii="Times New Roman" w:hAnsi="Times New Roman" w:eastAsia="宋体"/>
          <w:b/>
          <w:color w:val="000000"/>
          <w:sz w:val="24"/>
        </w:rPr>
        <w:t>3.4 全量100条提取结果</w:t>
      </w:r>
    </w:p>
    <w:p>
      <w:pPr>
        <w:keepLines/>
        <w:spacing w:after="0"/>
      </w:pPr>
      <w:r>
        <w:rPr>
          <w:rFonts w:ascii="Times New Roman" w:hAnsi="Times New Roman" w:eastAsia="宋体"/>
          <w:b w:val="0"/>
          <w:color w:val="000000"/>
          <w:sz w:val="24"/>
        </w:rPr>
        <w:t>表4逐条列示附件1全部样本。三模态维度分别固定为768、74、35，统一粒度为每条视频50个物理时间窗；因此表中以单行给出三模态有效窗，完整的数值矩阵见同名NPZ。修订版100条processing_status均为ok，视觉有效窗总数为4306，4条vision_valid=0。初版的39条零视觉主要反映检测流程漏检，不能当作原视频没有人脸的事实。</w:t>
      </w:r>
    </w:p>
    <w:p>
      <w:pPr>
        <w:keepNext/>
        <w:spacing w:after="80"/>
        <w:ind w:firstLine="0"/>
        <w:jc w:val="center"/>
      </w:pPr>
      <w:r>
        <w:rPr>
          <w:rFonts w:ascii="Times New Roman" w:hAnsi="Times New Roman" w:eastAsia="宋体"/>
          <w:b w:val="0"/>
          <w:color w:val="000000"/>
          <w:sz w:val="24"/>
        </w:rPr>
        <w:t>表4 附件1全部100条样本的三模态特征与有效窗汇总</w:t>
      </w:r>
    </w:p>
    <w:tbl>
      <w:tblPr>
        <w:tblStyle w:val="TableGrid"/>
        <w:tblW w:type="auto" w:w="0"/>
        <w:jc w:val="center"/>
        <w:tblLayout w:type="fixed"/>
        <w:tblLook w:firstColumn="1" w:firstRow="1" w:lastColumn="0" w:lastRow="0" w:noHBand="0" w:noVBand="1" w:val="04A0"/>
      </w:tblPr>
      <w:tblGrid>
        <w:gridCol w:w="3402"/>
        <w:gridCol w:w="1191"/>
        <w:gridCol w:w="1020"/>
        <w:gridCol w:w="1020"/>
        <w:gridCol w:w="1020"/>
        <w:gridCol w:w="1701"/>
      </w:tblGrid>
      <w:tr>
        <w:trPr>
          <w:tblHeader w:val="true"/>
        </w:trPr>
        <w:tc>
          <w:tcPr>
            <w:tcW w:type="dxa" w:w="3402"/>
            <w:vAlign w:val="center"/>
            <w:tcMar>
              <w:top w:w="40" w:type="dxa"/>
              <w:left w:w="85" w:type="dxa"/>
              <w:bottom w:w="40" w:type="dxa"/>
              <w:right w:w="85" w:type="dxa"/>
            </w:tcMar>
            <w:shd w:fill="E9EEF2"/>
          </w:tcPr>
          <w:p>
            <w:pPr>
              <w:spacing w:after="0" w:line="240" w:lineRule="auto"/>
              <w:ind w:firstLine="0"/>
              <w:jc w:val="center"/>
            </w:pPr>
            <w:r>
              <w:rPr>
                <w:rFonts w:ascii="Times New Roman" w:hAnsi="Times New Roman" w:eastAsia="宋体"/>
                <w:b/>
                <w:color w:val="000000"/>
                <w:sz w:val="24"/>
              </w:rPr>
              <w:t>video/clip</w:t>
            </w:r>
          </w:p>
        </w:tc>
        <w:tc>
          <w:tcPr>
            <w:tcW w:type="dxa" w:w="1191"/>
            <w:vAlign w:val="center"/>
            <w:tcMar>
              <w:top w:w="40" w:type="dxa"/>
              <w:left w:w="85" w:type="dxa"/>
              <w:bottom w:w="40" w:type="dxa"/>
              <w:right w:w="85" w:type="dxa"/>
            </w:tcMar>
            <w:shd w:fill="E9EEF2"/>
          </w:tcPr>
          <w:p>
            <w:pPr>
              <w:spacing w:after="0" w:line="240" w:lineRule="auto"/>
              <w:ind w:firstLine="0"/>
              <w:jc w:val="center"/>
            </w:pPr>
            <w:r>
              <w:rPr>
                <w:rFonts w:ascii="Times New Roman" w:hAnsi="Times New Roman" w:eastAsia="宋体"/>
                <w:b/>
                <w:color w:val="000000"/>
                <w:sz w:val="24"/>
              </w:rPr>
              <w:t>时长/s</w:t>
            </w:r>
          </w:p>
        </w:tc>
        <w:tc>
          <w:tcPr>
            <w:tcW w:type="dxa" w:w="1020"/>
            <w:vAlign w:val="center"/>
            <w:tcMar>
              <w:top w:w="40" w:type="dxa"/>
              <w:left w:w="85" w:type="dxa"/>
              <w:bottom w:w="40" w:type="dxa"/>
              <w:right w:w="85" w:type="dxa"/>
            </w:tcMar>
            <w:shd w:fill="E9EEF2"/>
          </w:tcPr>
          <w:p>
            <w:pPr>
              <w:spacing w:after="0" w:line="240" w:lineRule="auto"/>
              <w:ind w:firstLine="0"/>
              <w:jc w:val="center"/>
            </w:pPr>
            <w:r>
              <w:rPr>
                <w:rFonts w:ascii="Times New Roman" w:hAnsi="Times New Roman" w:eastAsia="宋体"/>
                <w:b/>
                <w:color w:val="000000"/>
                <w:sz w:val="24"/>
              </w:rPr>
              <w:t>T/50</w:t>
            </w:r>
          </w:p>
        </w:tc>
        <w:tc>
          <w:tcPr>
            <w:tcW w:type="dxa" w:w="1020"/>
            <w:vAlign w:val="center"/>
            <w:tcMar>
              <w:top w:w="40" w:type="dxa"/>
              <w:left w:w="85" w:type="dxa"/>
              <w:bottom w:w="40" w:type="dxa"/>
              <w:right w:w="85" w:type="dxa"/>
            </w:tcMar>
            <w:shd w:fill="E9EEF2"/>
          </w:tcPr>
          <w:p>
            <w:pPr>
              <w:spacing w:after="0" w:line="240" w:lineRule="auto"/>
              <w:ind w:firstLine="0"/>
              <w:jc w:val="center"/>
            </w:pPr>
            <w:r>
              <w:rPr>
                <w:rFonts w:ascii="Times New Roman" w:hAnsi="Times New Roman" w:eastAsia="宋体"/>
                <w:b/>
                <w:color w:val="000000"/>
                <w:sz w:val="24"/>
              </w:rPr>
              <w:t>A/50</w:t>
            </w:r>
          </w:p>
        </w:tc>
        <w:tc>
          <w:tcPr>
            <w:tcW w:type="dxa" w:w="1020"/>
            <w:vAlign w:val="center"/>
            <w:tcMar>
              <w:top w:w="40" w:type="dxa"/>
              <w:left w:w="85" w:type="dxa"/>
              <w:bottom w:w="40" w:type="dxa"/>
              <w:right w:w="85" w:type="dxa"/>
            </w:tcMar>
            <w:shd w:fill="E9EEF2"/>
          </w:tcPr>
          <w:p>
            <w:pPr>
              <w:spacing w:after="0" w:line="240" w:lineRule="auto"/>
              <w:ind w:firstLine="0"/>
              <w:jc w:val="center"/>
            </w:pPr>
            <w:r>
              <w:rPr>
                <w:rFonts w:ascii="Times New Roman" w:hAnsi="Times New Roman" w:eastAsia="宋体"/>
                <w:b/>
                <w:color w:val="000000"/>
                <w:sz w:val="24"/>
              </w:rPr>
              <w:t>V/50</w:t>
            </w:r>
          </w:p>
        </w:tc>
        <w:tc>
          <w:tcPr>
            <w:tcW w:type="dxa" w:w="1701"/>
            <w:vAlign w:val="center"/>
            <w:tcMar>
              <w:top w:w="40" w:type="dxa"/>
              <w:left w:w="85" w:type="dxa"/>
              <w:bottom w:w="40" w:type="dxa"/>
              <w:right w:w="85" w:type="dxa"/>
            </w:tcMar>
            <w:shd w:fill="E9EEF2"/>
          </w:tcPr>
          <w:p>
            <w:pPr>
              <w:spacing w:after="0" w:line="240" w:lineRule="auto"/>
              <w:ind w:firstLine="0"/>
              <w:jc w:val="center"/>
            </w:pPr>
            <w:r>
              <w:rPr>
                <w:rFonts w:ascii="Times New Roman" w:hAnsi="Times New Roman" w:eastAsia="宋体"/>
                <w:b/>
                <w:color w:val="000000"/>
                <w:sz w:val="24"/>
              </w:rPr>
              <w:t>检出率</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-3g5yACwYnA/13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-3g5yACwYnA/3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14.33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-3g5yACwYnA/2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9.23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-3g5yACwYnA/9</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8.70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-3nNcZdcdvU/5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7.79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0.99</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-HwX2H8Z4hY/2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0.28</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-HwX2H8Z4hY/5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5.54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47</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0.95</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-HwX2H8Z4hY/6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31</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0.94</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-HwX2H8Z4hY/9</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7.64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0.09</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-NFrJFQijFE/1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5.66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-NFrJFQijFE/2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6.70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-THoVjtIkeU/12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14.81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-THoVjtIkeU/2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-THoVjtIkeU/6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7.98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0.99</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-UuX1xuaiiE/1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10.27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-UuX1xuaiiE/0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36</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-UuX1xuaiiE/3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-UuX1xuaiiE/6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7.94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-a55Q6RWvTA/3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22.08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-aNfi7CP8vM/7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8.54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-aqamKhZ1Ec/0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10.89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-dxfTGcXJoc/1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16.02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-dxfTGcXJoc/0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20.41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0.78</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-dxfTGcXJoc/2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16.63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-dxfTGcXJoc/6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12.63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-egA8-b7-3M/26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5.92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-egA8-b7-3M/17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7.10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-egA8-b7-3M/18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8.27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-egA8-b7-3M/16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5.48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-egA8-b7-3M/13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10.16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6.18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-egA8-b7-3M/9</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-egA8-b7-3M/20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6.47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-iRBcNs9oI8/3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5.54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-iRBcNs9oI8/7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-iRBcNs9oI8/6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2.82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28</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-iRBcNs9oI8/9</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25</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0.74</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-iRBcNs9oI8/8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8.03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-lzEya4AM_4/5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7.57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-lzEya4AM_4/6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14.74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-mJ2ud6oKI8/1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6.05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-mJ2ud6oKI8/2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5.70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21</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0.42</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-mJ2ud6oKI8/6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2.23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22</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-mJ2ud6oKI8/9</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6.91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-mJ2ud6oKI8/8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4.17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-mqbVkbCndg/0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-t217m2on-s/2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5.63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-t217m2on-s/7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17.03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-tANM6ETl_M/3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6.60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-tPCytz4rww/11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-tPCytz4rww/10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47</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-tPCytz4rww/12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11.74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-tPCytz4rww/16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7.14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-tPCytz4rww/18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6.57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-vxjVxOeScU/4</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9.04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-wMB_hJL-3o/7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5.98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0.97</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6.78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6.10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6.52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6.74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7.91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-wny0OAz3g8/9</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6.04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-571d8cVauQ/0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48</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0.96</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-571d8cVauQ/5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15.12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-I_e4mIh0yE/1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7.44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-I_e4mIh0yE/3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8.99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-UacrmKiTn4/10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7.24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-UacrmKiTn4/4</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47</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-hnBHBN8p5A/7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7.31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0.97</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-hnBHBN8p5A/6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43</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0.83</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-qDkUB0GgYY/6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-uywlfIYOS8/4</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5.88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-6rXp3zJ3kc/8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12.74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-9y-fZ3swSY/0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6.76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-9y-fZ3swSY/4</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2.66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27</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-9y-fZ3swSY/8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-AUZQgSxyPQ/2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22.40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-HeZS2-Prhc/2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8.15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-MeTTeMJBNc/0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9.22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-MeTTeMJBNc/13</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5.26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-MeTTeMJBNc/7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10.41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-RfYyzHpjk4/11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-RfYyzHpjk4/8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4.53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45</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-RfYyzHpjk4/2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0.98</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-UUCSKoHeMA/0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7.73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-ri04Z7vwnc/0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2.76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27</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-ri04Z7vwnc/2</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5.91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18</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0.37</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-ri04Z7vwnc/5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-s9qJ7ATP7w/0</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6.71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39</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8.40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-s9qJ7ATP7w/4</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4.25</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28</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0.68</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-s9qJ7ATP7w/7</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6.84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29</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0.58</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2.31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0.80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-s9qJ7ATP7w/8</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3.18</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-yRb-Jum7EQ/1</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29.11</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46</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-yRb-Jum7EQ/5</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13.04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43</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r>
        <w:tc>
          <w:tcPr>
            <w:tcW w:type="dxa" w:w="3402"/>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-yRb-Jum7EQ/6</w:t>
            </w:r>
          </w:p>
        </w:tc>
        <w:tc>
          <w:tcPr>
            <w:tcW w:type="dxa" w:w="119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11.24</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32</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020"/>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50</w:t>
            </w:r>
          </w:p>
        </w:tc>
        <w:tc>
          <w:tcPr>
            <w:tcW w:type="dxa" w:w="1701"/>
            <w:vAlign w:val="center"/>
            <w:tcMar>
              <w:top w:w="40" w:type="dxa"/>
              <w:left w:w="85" w:type="dxa"/>
              <w:bottom w:w="40" w:type="dxa"/>
              <w:right w:w="85" w:type="dxa"/>
            </w:tcMar>
          </w:tcPr>
          <w:p>
            <w:pPr>
              <w:spacing w:after="0" w:line="240" w:lineRule="auto"/>
              <w:ind w:firstLine="0"/>
              <w:jc w:val="center"/>
            </w:pPr>
            <w:r>
              <w:rPr>
                <w:rFonts w:ascii="Times New Roman" w:hAnsi="Times New Roman" w:eastAsia="宋体"/>
                <w:b w:val="0"/>
                <w:color w:val="000000"/>
                <w:sz w:val="24"/>
              </w:rPr>
              <w:t>1.00</w:t>
            </w:r>
          </w:p>
        </w:tc>
      </w:tr>
    </w:tbl>
    <w:p>
      <w:pPr>
        <w:pStyle w:val="Heading2"/>
      </w:pPr>
      <w:r>
        <w:rPr>
          <w:rFonts w:ascii="Times New Roman" w:hAnsi="Times New Roman" w:eastAsia="宋体"/>
          <w:b/>
          <w:color w:val="000000"/>
          <w:sz w:val="24"/>
        </w:rPr>
        <w:t>3.5 特征有效性与复现</w:t>
      </w:r>
    </w:p>
    <w:p>
      <w:pPr>
        <w:spacing w:after="0"/>
      </w:pPr>
      <w:r>
        <w:rPr>
          <w:rFonts w:ascii="Times New Roman" w:hAnsi="Times New Roman" w:eastAsia="宋体"/>
          <w:b w:val="0"/>
          <w:color w:val="000000"/>
          <w:sz w:val="24"/>
        </w:rPr>
        <w:t>按原视频ID分组、同一五折三种子协议重算，视觉单模态Accuracy/Macro-F1由Haar版0.3767/0.3334变为修订版0.4033/0.3532；三模态融合由0.6633/0.5524变为0.6733/0.5707。这是100条样本的内部线性探针诊断，不等于附件2模型成绩。视觉与融合的MAE和Pearson未随之改善，不能概括为全部指标提升。修订版平均有效窗为文本37.3、语音50.0、视觉43.1，平均抽帧人脸检出率0.913；仍有4条零视觉。</w:t>
      </w:r>
    </w:p>
    <w:p>
      <w:pPr>
        <w:keepNext/>
        <w:ind w:firstLine="0"/>
        <w:jc w:val="center"/>
      </w:pPr>
      <w:r>
        <w:drawing>
          <wp:inline xmlns:a="http://schemas.openxmlformats.org/drawingml/2006/main" xmlns:pic="http://schemas.openxmlformats.org/drawingml/2006/picture">
            <wp:extent cx="5544000" cy="1984168"/>
            <wp:docPr id="5" name="Picture 5"/>
            <wp:cNvGraphicFramePr>
              <a:graphicFrameLocks noChangeAspect="1"/>
            </wp:cNvGraphicFramePr>
            <a:graphic>
              <a:graphicData uri="http://schemas.openxmlformats.org/drawingml/2006/picture">
                <pic:pic>
                  <pic:nvPicPr>
                    <pic:cNvPr id="0" name="fig_q1_vision.png"/>
                    <pic:cNvPicPr/>
                  </pic:nvPicPr>
                  <pic:blipFill>
                    <a:blip r:embed="rId14"/>
                    <a:stretch>
                      <a:fillRect/>
                    </a:stretch>
                  </pic:blipFill>
                  <pic:spPr>
                    <a:xfrm>
                      <a:off x="0" y="0"/>
                      <a:ext cx="5544000" cy="1984168"/>
                    </a:xfrm>
                    <a:prstGeom prst="rect"/>
                  </pic:spPr>
                </pic:pic>
              </a:graphicData>
            </a:graphic>
          </wp:inline>
        </w:drawing>
      </w:r>
    </w:p>
    <w:p>
      <w:pPr>
        <w:keepNext/>
        <w:spacing w:after="80"/>
        <w:ind w:firstLine="0"/>
        <w:jc w:val="center"/>
      </w:pPr>
      <w:r>
        <w:rPr>
          <w:rFonts w:ascii="Times New Roman" w:hAnsi="Times New Roman" w:eastAsia="宋体"/>
          <w:b w:val="0"/>
          <w:color w:val="000000"/>
          <w:sz w:val="24"/>
        </w:rPr>
        <w:t>图2 Haar初版与YuNet加固版的视觉可用性对比（修订版含条件Haar回退）</w:t>
      </w:r>
    </w:p>
    <w:p>
      <w:pPr>
        <w:spacing w:after="0"/>
      </w:pPr>
      <w:r>
        <w:rPr>
          <w:rFonts w:ascii="Times New Roman" w:hAnsi="Times New Roman" w:eastAsia="宋体"/>
          <w:b w:val="0"/>
          <w:color w:val="000000"/>
          <w:sz w:val="24"/>
        </w:rPr>
        <w:t>比较只替换附件1的视觉分支，文本、语音、时间窗及其掩码保持不变。v3的100个NPZ与p1_summary_v3.csv逐条一致；YuNet加固版仍在320×180帧检测，不应称为原视频分辨率检测。</w:t>
      </w:r>
    </w:p>
    <w:p>
      <w:pPr>
        <w:pStyle w:val="Heading1"/>
        <w:jc w:val="center"/>
      </w:pPr>
      <w:r>
        <w:rPr>
          <w:rFonts w:ascii="Times New Roman" w:hAnsi="Times New Roman" w:eastAsia="黑体"/>
          <w:b/>
          <w:color w:val="000000"/>
          <w:sz w:val="28"/>
        </w:rPr>
        <w:t>四 问题二 局部缺失条件下的鲁棒预测</w:t>
      </w:r>
    </w:p>
    <w:p>
      <w:pPr>
        <w:pStyle w:val="Heading2"/>
      </w:pPr>
      <w:r>
        <w:rPr>
          <w:rFonts w:ascii="Times New Roman" w:hAnsi="Times New Roman" w:eastAsia="宋体"/>
          <w:b/>
          <w:color w:val="000000"/>
          <w:sz w:val="24"/>
        </w:rPr>
        <w:t>4.1 输入接口与掩码</w:t>
      </w:r>
    </w:p>
    <w:p>
      <w:pPr>
        <w:spacing w:after="0"/>
      </w:pPr>
      <w:r>
        <w:rPr>
          <w:rFonts w:ascii="Times New Roman" w:hAnsi="Times New Roman" w:eastAsia="宋体"/>
          <w:b w:val="0"/>
          <w:color w:val="000000"/>
          <w:sz w:val="24"/>
        </w:rPr>
        <w:t>模型使用附件2 aligned_50.pkl：文本50×768、语音50×74、视觉50×35。由text_bert注意力掩码及特殊词元构造内容支持S；模态数值有限且非全零时记为观测O。训练标准化统计量只从train的观测位置估计，标准化后缺失位仍置零。对有效观测位置再注入连续片段遮蔽A，模型实际掩码M=S·O·A；缺失率以遮蔽前有效观测数为分母，不把末端填充计入。</w:t>
      </w:r>
    </w:p>
    <w:p>
      <w:pPr>
        <w:spacing w:after="0"/>
      </w:pPr>
      <w:r>
        <w:rPr>
          <w:rFonts w:ascii="Times New Roman" w:hAnsi="Times New Roman" w:eastAsia="宋体"/>
          <w:b w:val="0"/>
          <w:color w:val="000000"/>
          <w:sz w:val="24"/>
        </w:rPr>
        <w:t xml:space="preserve">附件3未提供768维text，仅提供text_bert；推理入口用冻结BERT把给定词元编码到同维接口。在附件2抽查的8条样本上，该编码与提供的text特征RMSE约</w:t>
      </w:r>
      <w:r>
        <w:rPr>
          <w:rFonts w:ascii="Times New Roman" w:hAnsi="Times New Roman" w:eastAsia="宋体"/>
          <w:b w:val="0"/>
          <w:color w:val="000000"/>
          <w:sz w:val="24"/>
          <w:vertAlign w:val="superscript"/>
        </w:rPr>
        <w:t xml:space="preserve">-6</w:t>
      </w:r>
      <w:r>
        <w:rPr>
          <w:rFonts w:ascii="Times New Roman" w:hAnsi="Times New Roman" w:eastAsia="宋体"/>
          <w:b w:val="0"/>
          <w:color w:val="000000"/>
          <w:sz w:val="24"/>
        </w:rPr>
        <w:t xml:space="preserve">。此检验只说明输入接口近似一致，不意味着恢复了附件3未提供的原词，更不应称为“无损重建缺失文本”。</w:t>
      </w:r>
    </w:p>
    <w:p>
      <w:pPr>
        <w:pStyle w:val="Heading2"/>
      </w:pPr>
      <w:r>
        <w:rPr>
          <w:rFonts w:ascii="Times New Roman" w:hAnsi="Times New Roman" w:eastAsia="宋体"/>
          <w:b/>
          <w:color w:val="000000"/>
          <w:sz w:val="24"/>
        </w:rPr>
        <w:t>4.2 掩码感知双任务网络</w:t>
      </w:r>
    </w:p>
    <w:p>
      <w:pPr>
        <w:spacing w:after="0"/>
      </w:pPr>
      <w:r>
        <w:rPr>
          <w:rFonts w:ascii="Times New Roman" w:hAnsi="Times New Roman" w:eastAsia="宋体"/>
          <w:b w:val="0"/>
          <w:color w:val="000000"/>
          <w:sz w:val="24"/>
        </w:rPr>
        <w:t>文本、语音、视觉分别经线性投影到96维，以一层四头Transformer编码时序特征，再用屏蔽无效位置的注意力池化形成模态向量z_m。模态有效比例a_m进入门控打分，全部不可用的模态不参与融合。融合表示送入三分类头和范围受限的强度回归头。缺失令牌仅标识不可用输入，不构造原始观测。</w:t>
      </w:r>
    </w:p>
    <w:p>
      <w:pPr>
        <w:tabs>
          <w:tab w:pos="9071" w:val="right"/>
        </w:tabs>
        <w:spacing w:before="100" w:after="100"/>
        <w:ind w:firstLine="0"/>
        <w:jc w:val="center"/>
      </w:pPr>
      <m:oMath>
        <m:sSub>
          <m:e>
            <m:r>
              <m:t>a</m:t>
            </m:r>
          </m:e>
          <m:sub>
            <m:r>
              <m:t>m</m:t>
            </m:r>
          </m:sub>
        </m:sSub>
        <m:r>
          <m:rPr>
            <m:sty m:val="p"/>
          </m:rPr>
          <m:t>=</m:t>
        </m:r>
        <m:f>
          <m:fPr>
            <m:type m:val="bar"/>
          </m:fPr>
          <m:num>
            <m:nary>
              <m:naryPr>
                <m:chr m:val="∑"/>
                <m:limLoc m:val="undOvr"/>
                <m:subHide m:val="0"/>
                <m:supHide m:val="1"/>
              </m:naryPr>
              <m:sub>
                <m:r>
                  <m:t>j</m:t>
                </m:r>
              </m:sub>
              <m:sup>
                <m:r>
                  <m:t>​</m:t>
                </m:r>
              </m:sup>
              <m:e>
                <m:sSub>
                  <m:e>
                    <m:r>
                      <m:t>M</m:t>
                    </m:r>
                  </m:e>
                  <m:sub>
                    <m:r>
                      <m:t>m</m:t>
                    </m:r>
                    <m:r>
                      <m:t>j</m:t>
                    </m:r>
                  </m:sub>
                </m:sSub>
              </m:e>
            </m:nary>
          </m:num>
          <m:den>
            <m:r>
              <m:rPr>
                <m:nor/>
                <m:sty m:val="p"/>
              </m:rPr>
              <m:t>max</m:t>
            </m:r>
            <m:r>
              <m:rPr>
                <m:sty m:val="p"/>
              </m:rPr>
              <m:t>(</m:t>
            </m:r>
            <m:r>
              <m:t>1</m:t>
            </m:r>
            <m:r>
              <m:rPr>
                <m:sty m:val="p"/>
              </m:rPr>
              <m:t>,</m:t>
            </m:r>
            <m:nary>
              <m:naryPr>
                <m:chr m:val="∑"/>
                <m:limLoc m:val="undOvr"/>
                <m:subHide m:val="0"/>
                <m:supHide m:val="1"/>
              </m:naryPr>
              <m:sub>
                <m:r>
                  <m:t>j</m:t>
                </m:r>
              </m:sub>
              <m:sup>
                <m:r>
                  <m:t>​</m:t>
                </m:r>
              </m:sup>
              <m:e>
                <m:sSub>
                  <m:e>
                    <m:r>
                      <m:t>S</m:t>
                    </m:r>
                  </m:e>
                  <m:sub>
                    <m:r>
                      <m:t>m</m:t>
                    </m:r>
                    <m:r>
                      <m:t>j</m:t>
                    </m:r>
                  </m:sub>
                </m:sSub>
              </m:e>
            </m:nary>
            <m:r>
              <m:rPr>
                <m:sty m:val="p"/>
              </m:rPr>
              <m:t>)</m:t>
            </m:r>
          </m:den>
        </m:f>
        <m:r>
          <m:rPr>
            <m:sty m:val="p"/>
          </m:rPr>
          <m:t>,</m:t>
        </m:r>
        <m:r>
          <m:t> </m:t>
        </m:r>
        <m:r>
          <m:rPr>
            <m:sty m:val="b"/>
          </m:rPr>
          <m:t>α</m:t>
        </m:r>
        <m:r>
          <m:rPr>
            <m:sty m:val="p"/>
          </m:rPr>
          <m:t>=</m:t>
        </m:r>
        <m:r>
          <m:rPr>
            <m:nor/>
            <m:sty m:val="p"/>
          </m:rPr>
          <m:t>softmax</m:t>
        </m:r>
        <m:r>
          <m:t>​</m:t>
        </m:r>
        <m:d>
          <m:dPr>
            <m:begChr m:val="("/>
            <m:endChr m:val=")"/>
            <m:grow/>
          </m:dPr>
          <m:e>
            <m:r>
              <m:rPr>
                <m:sty m:val="p"/>
              </m:rPr>
              <m:t>(</m:t>
            </m:r>
            <m:r>
              <m:t>g</m:t>
            </m:r>
            <m:r>
              <m:rPr>
                <m:sty m:val="p"/>
              </m:rPr>
              <m:t>(</m:t>
            </m:r>
            <m:sSub>
              <m:e>
                <m:r>
                  <m:t>z</m:t>
                </m:r>
              </m:e>
              <m:sub>
                <m:r>
                  <m:t>m</m:t>
                </m:r>
              </m:sub>
            </m:sSub>
            <m:r>
              <m:rPr>
                <m:sty m:val="p"/>
              </m:rPr>
              <m:t>)</m:t>
            </m:r>
            <m:r>
              <m:rPr>
                <m:sty m:val="p"/>
              </m:rPr>
              <m:t>+</m:t>
            </m:r>
            <m:r>
              <m:rPr>
                <m:nor/>
                <m:sty m:val="p"/>
              </m:rPr>
              <m:t>log</m:t>
            </m:r>
            <m:r>
              <m:rPr>
                <m:nor/>
                <m:sty m:val="p"/>
              </m:rPr>
              <m:t>max</m:t>
            </m:r>
            <m:r>
              <m:rPr>
                <m:sty m:val="p"/>
              </m:rPr>
              <m:t>(</m:t>
            </m:r>
            <m:sSub>
              <m:e>
                <m:r>
                  <m:t>a</m:t>
                </m:r>
              </m:e>
              <m:sub>
                <m:r>
                  <m:t>m</m:t>
                </m:r>
              </m:sub>
            </m:sSub>
            <m:r>
              <m:rPr>
                <m:sty m:val="p"/>
              </m:rPr>
              <m:t>,</m:t>
            </m:r>
            <m:sSup>
              <m:e>
                <m:r>
                  <m:t>10</m:t>
                </m:r>
              </m:e>
              <m:sup>
                <m:r>
                  <m:rPr>
                    <m:sty m:val="p"/>
                  </m:rPr>
                  <m:t>−</m:t>
                </m:r>
                <m:r>
                  <m:t>3</m:t>
                </m:r>
              </m:sup>
            </m:sSup>
            <m:r>
              <m:rPr>
                <m:sty m:val="p"/>
              </m:rPr>
              <m:t>)</m:t>
            </m:r>
            <m:sSub>
              <m:e>
                <m:r>
                  <m:rPr>
                    <m:sty m:val="p"/>
                  </m:rPr>
                  <m:t>)</m:t>
                </m:r>
              </m:e>
              <m:sub>
                <m:r>
                  <m:t>m</m:t>
                </m:r>
                <m:r>
                  <m:rPr>
                    <m:sty m:val="p"/>
                  </m:rPr>
                  <m:t>∈</m:t>
                </m:r>
                <m:r>
                  <m:rPr>
                    <m:sty m:val="p"/>
                    <m:scr m:val="script"/>
                  </m:rPr>
                  <m:t>M</m:t>
                </m:r>
              </m:sub>
            </m:sSub>
          </m:e>
        </m:d>
      </m:oMath>
      <w:r>
        <w:rPr>
          <w:rFonts w:ascii="Times New Roman" w:hAnsi="Times New Roman" w:eastAsia="宋体"/>
          <w:b w:val="0"/>
          <w:color w:val="000000"/>
          <w:sz w:val="24"/>
        </w:rPr>
        <w:tab/>
        <w:t>(4)</w:t>
      </w:r>
    </w:p>
    <w:p>
      <w:pPr>
        <w:tabs>
          <w:tab w:pos="9071" w:val="right"/>
        </w:tabs>
        <w:spacing w:before="100" w:after="100"/>
        <w:ind w:firstLine="0"/>
        <w:jc w:val="center"/>
      </w:pPr>
      <m:oMath>
        <m:r>
          <m:t>z</m:t>
        </m:r>
        <m:r>
          <m:rPr>
            <m:sty m:val="p"/>
          </m:rPr>
          <m:t>=</m:t>
        </m:r>
        <m:nary>
          <m:naryPr>
            <m:chr m:val="∑"/>
            <m:limLoc m:val="undOvr"/>
            <m:subHide m:val="0"/>
            <m:supHide m:val="1"/>
          </m:naryPr>
          <m:sub>
            <m:r>
              <m:t>m</m:t>
            </m:r>
          </m:sub>
          <m:sup>
            <m:r>
              <m:t>​</m:t>
            </m:r>
          </m:sup>
          <m:e>
            <m:sSub>
              <m:e>
                <m:r>
                  <m:t>α</m:t>
                </m:r>
              </m:e>
              <m:sub>
                <m:r>
                  <m:t>m</m:t>
                </m:r>
              </m:sub>
            </m:sSub>
          </m:e>
        </m:nary>
        <m:sSub>
          <m:e>
            <m:r>
              <m:t>z</m:t>
            </m:r>
          </m:e>
          <m:sub>
            <m:r>
              <m:t>m</m:t>
            </m:r>
          </m:sub>
        </m:sSub>
        <m:r>
          <m:rPr>
            <m:sty m:val="p"/>
          </m:rPr>
          <m:t>,</m:t>
        </m:r>
        <m:r>
          <m:t> </m:t>
        </m:r>
        <m:r>
          <m:t>p</m:t>
        </m:r>
        <m:r>
          <m:rPr>
            <m:sty m:val="p"/>
          </m:rPr>
          <m:t>=</m:t>
        </m:r>
        <m:r>
          <m:rPr>
            <m:nor/>
            <m:sty m:val="p"/>
          </m:rPr>
          <m:t>softmax</m:t>
        </m:r>
        <m:r>
          <m:rPr>
            <m:sty m:val="p"/>
          </m:rPr>
          <m:t>(</m:t>
        </m:r>
        <m:sSub>
          <m:e>
            <m:r>
              <m:t>f</m:t>
            </m:r>
          </m:e>
          <m:sub>
            <m:r>
              <m:rPr>
                <m:sty m:val="p"/>
              </m:rPr>
              <m:t>c</m:t>
            </m:r>
            <m:r>
              <m:rPr>
                <m:sty m:val="p"/>
              </m:rPr>
              <m:t>l</m:t>
            </m:r>
            <m:r>
              <m:rPr>
                <m:sty m:val="p"/>
              </m:rPr>
              <m:t>s</m:t>
            </m:r>
          </m:sub>
        </m:sSub>
        <m:r>
          <m:rPr>
            <m:sty m:val="p"/>
          </m:rPr>
          <m:t>(</m:t>
        </m:r>
        <m:r>
          <m:t>z</m:t>
        </m:r>
        <m:r>
          <m:rPr>
            <m:sty m:val="p"/>
          </m:rPr>
          <m:t>)</m:t>
        </m:r>
        <m:r>
          <m:rPr>
            <m:sty m:val="p"/>
          </m:rPr>
          <m:t>)</m:t>
        </m:r>
        <m:r>
          <m:rPr>
            <m:sty m:val="p"/>
          </m:rPr>
          <m:t>,</m:t>
        </m:r>
        <m:r>
          <m:t> </m:t>
        </m:r>
        <m:acc>
          <m:accPr>
            <m:chr m:val="̂"/>
          </m:accPr>
          <m:e>
            <m:r>
              <m:t>y</m:t>
            </m:r>
          </m:e>
        </m:acc>
        <m:r>
          <m:rPr>
            <m:sty m:val="p"/>
          </m:rPr>
          <m:t>=</m:t>
        </m:r>
        <m:r>
          <m:t>3</m:t>
        </m:r>
        <m:r>
          <m:rPr>
            <m:nor/>
            <m:sty m:val="p"/>
          </m:rPr>
          <m:t>tanh</m:t>
        </m:r>
        <m:r>
          <m:rPr>
            <m:sty m:val="p"/>
          </m:rPr>
          <m:t>(</m:t>
        </m:r>
        <m:sSub>
          <m:e>
            <m:r>
              <m:t>f</m:t>
            </m:r>
          </m:e>
          <m:sub>
            <m:r>
              <m:rPr>
                <m:sty m:val="p"/>
              </m:rPr>
              <m:t>r</m:t>
            </m:r>
            <m:r>
              <m:rPr>
                <m:sty m:val="p"/>
              </m:rPr>
              <m:t>e</m:t>
            </m:r>
            <m:r>
              <m:rPr>
                <m:sty m:val="p"/>
              </m:rPr>
              <m:t>g</m:t>
            </m:r>
          </m:sub>
        </m:sSub>
        <m:r>
          <m:rPr>
            <m:sty m:val="p"/>
          </m:rPr>
          <m:t>(</m:t>
        </m:r>
        <m:r>
          <m:t>z</m:t>
        </m:r>
        <m:r>
          <m:rPr>
            <m:sty m:val="p"/>
          </m:rPr>
          <m:t>)</m:t>
        </m:r>
        <m:r>
          <m:rPr>
            <m:sty m:val="p"/>
          </m:rPr>
          <m:t>/</m:t>
        </m:r>
        <m:r>
          <m:t>3</m:t>
        </m:r>
        <m:r>
          <m:rPr>
            <m:sty m:val="p"/>
          </m:rPr>
          <m:t>)</m:t>
        </m:r>
      </m:oMath>
      <w:r>
        <w:rPr>
          <w:rFonts w:ascii="Times New Roman" w:hAnsi="Times New Roman" w:eastAsia="宋体"/>
          <w:b w:val="0"/>
          <w:color w:val="000000"/>
          <w:sz w:val="24"/>
        </w:rPr>
        <w:tab/>
        <w:t>(5)</w:t>
      </w:r>
    </w:p>
    <w:p>
      <w:pPr>
        <w:spacing w:after="0"/>
      </w:pPr>
      <w:r>
        <w:rPr>
          <w:rFonts w:ascii="Times New Roman" w:hAnsi="Times New Roman" w:eastAsia="宋体"/>
          <w:b w:val="0"/>
          <w:color w:val="000000"/>
          <w:sz w:val="24"/>
        </w:rPr>
        <w:t>总损失为类别交叉熵、Huber强度误差和人工遮蔽位置的重建误差加权和；自然无观测的零行不计入重建目标。系数分别为1.0、0.6、0.1，互补正则在本次训练中关闭。门控权重只是网络内部变量，不作为模态贡献解释。</w:t>
      </w:r>
    </w:p>
    <w:p>
      <w:pPr>
        <w:tabs>
          <w:tab w:pos="9071" w:val="right"/>
        </w:tabs>
        <w:spacing w:before="100" w:after="100"/>
        <w:ind w:firstLine="0"/>
        <w:jc w:val="center"/>
      </w:pPr>
      <m:oMath>
        <m:r>
          <m:rPr>
            <m:sty m:val="p"/>
            <m:scr m:val="script"/>
          </m:rPr>
          <m:t>L</m:t>
        </m:r>
        <m:r>
          <m:rPr>
            <m:sty m:val="p"/>
          </m:rPr>
          <m:t>=</m:t>
        </m:r>
        <m:sSub>
          <m:e>
            <m:r>
              <m:rPr>
                <m:sty m:val="p"/>
                <m:scr m:val="script"/>
              </m:rPr>
              <m:t>L</m:t>
            </m:r>
          </m:e>
          <m:sub>
            <m:r>
              <m:rPr>
                <m:sty m:val="p"/>
              </m:rPr>
              <m:t>C</m:t>
            </m:r>
            <m:r>
              <m:rPr>
                <m:sty m:val="p"/>
              </m:rPr>
              <m:t>E</m:t>
            </m:r>
          </m:sub>
        </m:sSub>
        <m:r>
          <m:rPr>
            <m:sty m:val="p"/>
          </m:rPr>
          <m:t>+</m:t>
        </m:r>
        <m:r>
          <m:t>0.6</m:t>
        </m:r>
        <m:sSub>
          <m:e>
            <m:r>
              <m:rPr>
                <m:sty m:val="p"/>
                <m:scr m:val="script"/>
              </m:rPr>
              <m:t>L</m:t>
            </m:r>
          </m:e>
          <m:sub>
            <m:r>
              <m:rPr>
                <m:sty m:val="p"/>
              </m:rPr>
              <m:t>H</m:t>
            </m:r>
            <m:r>
              <m:rPr>
                <m:sty m:val="p"/>
              </m:rPr>
              <m:t>u</m:t>
            </m:r>
            <m:r>
              <m:rPr>
                <m:sty m:val="p"/>
              </m:rPr>
              <m:t>b</m:t>
            </m:r>
            <m:r>
              <m:rPr>
                <m:sty m:val="p"/>
              </m:rPr>
              <m:t>e</m:t>
            </m:r>
            <m:r>
              <m:rPr>
                <m:sty m:val="p"/>
              </m:rPr>
              <m:t>r</m:t>
            </m:r>
          </m:sub>
        </m:sSub>
        <m:r>
          <m:rPr>
            <m:sty m:val="p"/>
          </m:rPr>
          <m:t>+</m:t>
        </m:r>
        <m:r>
          <m:t>0.1</m:t>
        </m:r>
        <m:sSub>
          <m:e>
            <m:r>
              <m:rPr>
                <m:sty m:val="p"/>
                <m:scr m:val="script"/>
              </m:rPr>
              <m:t>L</m:t>
            </m:r>
          </m:e>
          <m:sub>
            <m:r>
              <m:rPr>
                <m:sty m:val="p"/>
              </m:rPr>
              <m:t>r</m:t>
            </m:r>
            <m:r>
              <m:rPr>
                <m:sty m:val="p"/>
              </m:rPr>
              <m:t>e</m:t>
            </m:r>
            <m:r>
              <m:rPr>
                <m:sty m:val="p"/>
              </m:rPr>
              <m:t>c</m:t>
            </m:r>
          </m:sub>
        </m:sSub>
      </m:oMath>
      <w:r>
        <w:rPr>
          <w:rFonts w:ascii="Times New Roman" w:hAnsi="Times New Roman" w:eastAsia="宋体"/>
          <w:b w:val="0"/>
          <w:color w:val="000000"/>
          <w:sz w:val="24"/>
        </w:rPr>
        <w:tab/>
        <w:t>(6)</w:t>
      </w:r>
    </w:p>
    <w:p>
      <w:pPr>
        <w:pStyle w:val="Heading2"/>
      </w:pPr>
      <w:r>
        <w:rPr>
          <w:rFonts w:ascii="Times New Roman" w:hAnsi="Times New Roman" w:eastAsia="宋体"/>
          <w:b/>
          <w:color w:val="000000"/>
          <w:sz w:val="24"/>
        </w:rPr>
        <w:t>4.3 训练与模型选择</w:t>
      </w:r>
    </w:p>
    <w:p>
      <w:pPr>
        <w:spacing w:after="0"/>
      </w:pPr>
      <w:r>
        <w:rPr>
          <w:rFonts w:ascii="Times New Roman" w:hAnsi="Times New Roman" w:eastAsia="宋体"/>
          <w:b w:val="0"/>
          <w:color w:val="000000"/>
          <w:sz w:val="24"/>
        </w:rPr>
        <w:t xml:space="preserve">训练使用AdamW，学习率</w:t>
      </w:r>
      <w:r>
        <w:rPr>
          <w:rFonts w:ascii="Times New Roman" w:hAnsi="Times New Roman" w:eastAsia="宋体"/>
          <w:b w:val="0"/>
          <w:color w:val="000000"/>
          <w:sz w:val="24"/>
        </w:rPr>
        <w:t xml:space="preserve">6×</w:t>
      </w:r>
      <w:r>
        <w:rPr>
          <w:rFonts w:ascii="Times New Roman" w:hAnsi="Times New Roman" w:eastAsia="宋体"/>
          <w:b w:val="0"/>
          <w:color w:val="000000"/>
          <w:sz w:val="24"/>
          <w:vertAlign w:val="superscript"/>
        </w:rPr>
        <w:t xml:space="preserve">-4</w:t>
      </w:r>
      <w:r>
        <w:rPr>
          <w:rFonts w:ascii="Times New Roman" w:hAnsi="Times New Roman" w:eastAsia="宋体"/>
          <w:b w:val="0"/>
          <w:color w:val="000000"/>
          <w:sz w:val="24"/>
        </w:rPr>
        <w:t xml:space="preserve">，batch size 64，最多35轮，提前停止耐心7轮；训练时以0.6概率从原本有效的观测位置抽取1–3个连续片段，模拟0.1–0.8比例的额外缺失。2026、2027、2028三个随机种子的类别概率与强度预测等权平均。验证集以Macro-F1−0.5×MAE/3选择轮次，并在同一验证集拟合类别log-prob偏置[-0.2,0,0]后冻结。该偏置仅影响离散决策；校准后的验证集分类指标带有乐观偏差。</w:t>
      </w:r>
    </w:p>
    <w:p>
      <w:pPr>
        <w:pStyle w:val="Heading2"/>
      </w:pPr>
      <w:r>
        <w:rPr>
          <w:rFonts w:ascii="Times New Roman" w:hAnsi="Times New Roman" w:eastAsia="宋体"/>
          <w:b/>
          <w:color w:val="000000"/>
          <w:sz w:val="24"/>
        </w:rPr>
        <w:t>4.4 验证与测试结果</w:t>
      </w:r>
    </w:p>
    <w:p>
      <w:pPr>
        <w:keepNext/>
        <w:spacing w:after="80"/>
        <w:ind w:firstLine="0"/>
        <w:jc w:val="center"/>
      </w:pPr>
      <w:r>
        <w:rPr>
          <w:rFonts w:ascii="Times New Roman" w:hAnsi="Times New Roman" w:eastAsia="宋体"/>
          <w:b w:val="0"/>
          <w:color w:val="000000"/>
          <w:sz w:val="24"/>
        </w:rPr>
        <w:t>表5 p2三种子集成在分类偏置前后的评价结果</w:t>
      </w:r>
    </w:p>
    <w:tbl>
      <w:tblPr>
        <w:tblStyle w:val="TableGrid"/>
        <w:tblW w:type="auto" w:w="0"/>
        <w:jc w:val="center"/>
        <w:tblLayout w:type="fixed"/>
        <w:tblLook w:firstColumn="1" w:firstRow="1" w:lastColumn="0" w:lastRow="0" w:noHBand="0" w:noVBand="1" w:val="04A0"/>
      </w:tblPr>
      <w:tblGrid>
        <w:gridCol w:w="1984"/>
        <w:gridCol w:w="1077"/>
        <w:gridCol w:w="1587"/>
        <w:gridCol w:w="1644"/>
        <w:gridCol w:w="1361"/>
        <w:gridCol w:w="1701"/>
      </w:tblGrid>
      <w:tr>
        <w:trPr>
          <w:tblHeader w:val="true"/>
        </w:trPr>
        <w:tc>
          <w:tcPr>
            <w:tcW w:type="dxa" w:w="198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划分与口径</w:t>
            </w:r>
          </w:p>
        </w:tc>
        <w:tc>
          <w:tcPr>
            <w:tcW w:type="dxa" w:w="107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样本数</w:t>
            </w:r>
          </w:p>
        </w:tc>
        <w:tc>
          <w:tcPr>
            <w:tcW w:type="dxa" w:w="158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Accuracy</w:t>
            </w:r>
          </w:p>
        </w:tc>
        <w:tc>
          <w:tcPr>
            <w:tcW w:type="dxa" w:w="164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Macro-F1</w:t>
            </w:r>
          </w:p>
        </w:tc>
        <w:tc>
          <w:tcPr>
            <w:tcW w:type="dxa" w:w="136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MAE</w:t>
            </w:r>
          </w:p>
        </w:tc>
        <w:tc>
          <w:tcPr>
            <w:tcW w:type="dxa" w:w="170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Pearson</w:t>
            </w:r>
          </w:p>
        </w:tc>
      </w:tr>
      <w:tr>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valid原始</w:t>
            </w:r>
          </w:p>
        </w:tc>
        <w:tc>
          <w:tcPr>
            <w:tcW w:type="dxa" w:w="107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728</w:t>
            </w:r>
          </w:p>
        </w:tc>
        <w:tc>
          <w:tcPr>
            <w:tcW w:type="dxa" w:w="15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0.6415</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0.6348</w:t>
            </w:r>
          </w:p>
        </w:tc>
        <w:tc>
          <w:tcPr>
            <w:tcW w:type="dxa" w:w="136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0.5786</w:t>
            </w:r>
          </w:p>
        </w:tc>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0.6700</w:t>
            </w:r>
          </w:p>
        </w:tc>
      </w:tr>
      <w:tr>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valid偏置后</w:t>
            </w:r>
          </w:p>
        </w:tc>
        <w:tc>
          <w:tcPr>
            <w:tcW w:type="dxa" w:w="107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728</w:t>
            </w:r>
          </w:p>
        </w:tc>
        <w:tc>
          <w:tcPr>
            <w:tcW w:type="dxa" w:w="15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0.6456</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0.6406</w:t>
            </w:r>
          </w:p>
        </w:tc>
        <w:tc>
          <w:tcPr>
            <w:tcW w:type="dxa" w:w="136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0.5786</w:t>
            </w:r>
          </w:p>
        </w:tc>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0.6700</w:t>
            </w:r>
          </w:p>
        </w:tc>
      </w:tr>
      <w:tr>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test原始</w:t>
            </w:r>
          </w:p>
        </w:tc>
        <w:tc>
          <w:tcPr>
            <w:tcW w:type="dxa" w:w="107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727</w:t>
            </w:r>
          </w:p>
        </w:tc>
        <w:tc>
          <w:tcPr>
            <w:tcW w:type="dxa" w:w="15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0.6726</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0.6434</w:t>
            </w:r>
          </w:p>
        </w:tc>
        <w:tc>
          <w:tcPr>
            <w:tcW w:type="dxa" w:w="136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0.6145</w:t>
            </w:r>
          </w:p>
        </w:tc>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0.6912</w:t>
            </w:r>
          </w:p>
        </w:tc>
      </w:tr>
      <w:tr>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test偏置后</w:t>
            </w:r>
          </w:p>
        </w:tc>
        <w:tc>
          <w:tcPr>
            <w:tcW w:type="dxa" w:w="107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727</w:t>
            </w:r>
          </w:p>
        </w:tc>
        <w:tc>
          <w:tcPr>
            <w:tcW w:type="dxa" w:w="158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0.6754</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0.6485</w:t>
            </w:r>
          </w:p>
        </w:tc>
        <w:tc>
          <w:tcPr>
            <w:tcW w:type="dxa" w:w="136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0.6145</w:t>
            </w:r>
          </w:p>
        </w:tc>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0.6912</w:t>
            </w:r>
          </w:p>
        </w:tc>
      </w:tr>
    </w:tbl>
    <w:p>
      <w:pPr>
        <w:keepLines/>
        <w:spacing w:after="0"/>
      </w:pPr>
      <w:r>
        <w:rPr>
          <w:rFonts w:ascii="Times New Roman" w:hAnsi="Times New Roman" w:eastAsia="宋体"/>
          <w:b w:val="0"/>
          <w:color w:val="000000"/>
          <w:sz w:val="24"/>
        </w:rPr>
        <w:t>测试集真实负向、中性、正向分别为207、158、362条，冻结模型的预测混淆矩阵见表6。中性类召回85/158≈0.538，仍是主要薄弱点；整体Accuracy不能遮盖此类误差。同种子消融中，无重建项的验证Macro-F1为0.6181，带重建项为0.6173；这不足以证明重建辅助项独立改善分类，也不足以断言它在其他种子恒有害。</w:t>
      </w:r>
    </w:p>
    <w:p>
      <w:pPr>
        <w:keepNext/>
        <w:spacing w:after="80"/>
        <w:ind w:firstLine="0"/>
        <w:jc w:val="center"/>
      </w:pPr>
      <w:r>
        <w:rPr>
          <w:rFonts w:ascii="Times New Roman" w:hAnsi="Times New Roman" w:eastAsia="宋体"/>
          <w:b w:val="0"/>
          <w:color w:val="000000"/>
          <w:sz w:val="24"/>
        </w:rPr>
        <w:t>表6 p2模型在附件2测试划分上的混淆矩阵（行为真值，列为预测）</w:t>
      </w:r>
    </w:p>
    <w:tbl>
      <w:tblPr>
        <w:tblStyle w:val="TableGrid"/>
        <w:tblW w:type="auto" w:w="0"/>
        <w:jc w:val="center"/>
        <w:tblLayout w:type="fixed"/>
        <w:tblLook w:firstColumn="1" w:firstRow="1" w:lastColumn="0" w:lastRow="0" w:noHBand="0" w:noVBand="1" w:val="04A0"/>
      </w:tblPr>
      <w:tblGrid>
        <w:gridCol w:w="2835"/>
        <w:gridCol w:w="2154"/>
        <w:gridCol w:w="2154"/>
        <w:gridCol w:w="2211"/>
      </w:tblGrid>
      <w:tr>
        <w:trPr>
          <w:tblHeader w:val="true"/>
        </w:trPr>
        <w:tc>
          <w:tcPr>
            <w:tcW w:type="dxa" w:w="2835"/>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真值/预测</w:t>
            </w:r>
          </w:p>
        </w:tc>
        <w:tc>
          <w:tcPr>
            <w:tcW w:type="dxa" w:w="215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Negative</w:t>
            </w:r>
          </w:p>
        </w:tc>
        <w:tc>
          <w:tcPr>
            <w:tcW w:type="dxa" w:w="215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Neutral</w:t>
            </w:r>
          </w:p>
        </w:tc>
        <w:tc>
          <w:tcPr>
            <w:tcW w:type="dxa" w:w="221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Positive</w:t>
            </w:r>
          </w:p>
        </w:tc>
      </w:tr>
      <w:tr>
        <w:tc>
          <w:tcPr>
            <w:tcW w:type="dxa" w:w="283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215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146</w:t>
            </w:r>
          </w:p>
        </w:tc>
        <w:tc>
          <w:tcPr>
            <w:tcW w:type="dxa" w:w="215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36</w:t>
            </w:r>
          </w:p>
        </w:tc>
        <w:tc>
          <w:tcPr>
            <w:tcW w:type="dxa" w:w="221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25</w:t>
            </w:r>
          </w:p>
        </w:tc>
      </w:tr>
      <w:tr>
        <w:tc>
          <w:tcPr>
            <w:tcW w:type="dxa" w:w="283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215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28</w:t>
            </w:r>
          </w:p>
        </w:tc>
        <w:tc>
          <w:tcPr>
            <w:tcW w:type="dxa" w:w="215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85</w:t>
            </w:r>
          </w:p>
        </w:tc>
        <w:tc>
          <w:tcPr>
            <w:tcW w:type="dxa" w:w="221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45</w:t>
            </w:r>
          </w:p>
        </w:tc>
      </w:tr>
      <w:tr>
        <w:tc>
          <w:tcPr>
            <w:tcW w:type="dxa" w:w="283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215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32</w:t>
            </w:r>
          </w:p>
        </w:tc>
        <w:tc>
          <w:tcPr>
            <w:tcW w:type="dxa" w:w="215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70</w:t>
            </w:r>
          </w:p>
        </w:tc>
        <w:tc>
          <w:tcPr>
            <w:tcW w:type="dxa" w:w="221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260</w:t>
            </w:r>
          </w:p>
        </w:tc>
      </w:tr>
    </w:tbl>
    <w:p>
      <w:pPr>
        <w:pStyle w:val="Heading2"/>
      </w:pPr>
      <w:r>
        <w:rPr>
          <w:rFonts w:ascii="Times New Roman" w:hAnsi="Times New Roman" w:eastAsia="宋体"/>
          <w:b/>
          <w:color w:val="000000"/>
          <w:sz w:val="24"/>
        </w:rPr>
        <w:t>4.5 缺失类型、比例与位置的影响</w:t>
      </w:r>
    </w:p>
    <w:p>
      <w:pPr>
        <w:spacing w:after="0"/>
      </w:pPr>
      <w:r>
        <w:rPr>
          <w:rFonts w:ascii="Times New Roman" w:hAnsi="Times New Roman" w:eastAsia="宋体"/>
          <w:b w:val="0"/>
          <w:color w:val="000000"/>
          <w:sz w:val="24"/>
        </w:rPr>
        <w:t>在验证集对当前已观测位置再置零，保持模型参数和分类偏置不变。图3及表7显示文本连续缺失带来的下降最明显：40%文本缺失时Macro-F1为0.6033，80%时为0.5353；同等比例的语音或视觉缺失影响较小。表7使用单连续段压力测试，表8比较该段的前、中、后位置；这些是对有效观测再施加的人为扰动，不能等同附件3原有的零行机制。</w:t>
      </w:r>
    </w:p>
    <w:p>
      <w:pPr>
        <w:keepNext/>
        <w:ind w:firstLine="0"/>
        <w:jc w:val="center"/>
      </w:pPr>
      <w:r>
        <w:drawing>
          <wp:inline xmlns:a="http://schemas.openxmlformats.org/drawingml/2006/main" xmlns:pic="http://schemas.openxmlformats.org/drawingml/2006/picture">
            <wp:extent cx="5544000" cy="2574000"/>
            <wp:docPr id="6" name="Picture 6"/>
            <wp:cNvGraphicFramePr>
              <a:graphicFrameLocks noChangeAspect="1"/>
            </wp:cNvGraphicFramePr>
            <a:graphic>
              <a:graphicData uri="http://schemas.openxmlformats.org/drawingml/2006/picture">
                <pic:pic>
                  <pic:nvPicPr>
                    <pic:cNvPr id="0" name="q2_missing.png"/>
                    <pic:cNvPicPr/>
                  </pic:nvPicPr>
                  <pic:blipFill>
                    <a:blip r:embed="rId15"/>
                    <a:stretch>
                      <a:fillRect/>
                    </a:stretch>
                  </pic:blipFill>
                  <pic:spPr>
                    <a:xfrm>
                      <a:off x="0" y="0"/>
                      <a:ext cx="5544000" cy="2574000"/>
                    </a:xfrm>
                    <a:prstGeom prst="rect"/>
                  </pic:spPr>
                </pic:pic>
              </a:graphicData>
            </a:graphic>
          </wp:inline>
        </w:drawing>
      </w:r>
    </w:p>
    <w:p>
      <w:pPr>
        <w:keepNext/>
        <w:spacing w:after="80"/>
        <w:ind w:firstLine="0"/>
        <w:jc w:val="center"/>
      </w:pPr>
      <w:r>
        <w:rPr>
          <w:rFonts w:ascii="Times New Roman" w:hAnsi="Times New Roman" w:eastAsia="宋体"/>
          <w:b w:val="0"/>
          <w:color w:val="000000"/>
          <w:sz w:val="24"/>
        </w:rPr>
        <w:t>图3 验证集连续片段额外缺失比例与Macro-F1</w:t>
      </w:r>
    </w:p>
    <w:p>
      <w:pPr>
        <w:keepNext/>
        <w:spacing w:after="80"/>
        <w:ind w:firstLine="0"/>
        <w:jc w:val="center"/>
      </w:pPr>
      <w:r>
        <w:rPr>
          <w:rFonts w:ascii="Times New Roman" w:hAnsi="Times New Roman" w:eastAsia="宋体"/>
          <w:b w:val="0"/>
          <w:color w:val="000000"/>
          <w:sz w:val="24"/>
        </w:rPr>
        <w:t>表7 缺失率40%时不同受损模态组合的验证结果</w:t>
      </w:r>
    </w:p>
    <w:tbl>
      <w:tblPr>
        <w:tblStyle w:val="TableGrid"/>
        <w:tblW w:type="auto" w:w="0"/>
        <w:jc w:val="center"/>
        <w:tblLayout w:type="fixed"/>
        <w:tblLook w:firstColumn="1" w:firstRow="1" w:lastColumn="0" w:lastRow="0" w:noHBand="0" w:noVBand="1" w:val="04A0"/>
      </w:tblPr>
      <w:tblGrid>
        <w:gridCol w:w="3969"/>
        <w:gridCol w:w="2665"/>
        <w:gridCol w:w="2721"/>
      </w:tblGrid>
      <w:tr>
        <w:trPr>
          <w:tblHeader w:val="true"/>
        </w:trPr>
        <w:tc>
          <w:tcPr>
            <w:tcW w:type="dxa" w:w="3969"/>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受损模态</w:t>
            </w:r>
          </w:p>
        </w:tc>
        <w:tc>
          <w:tcPr>
            <w:tcW w:type="dxa" w:w="2665"/>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Macro-F1</w:t>
            </w:r>
          </w:p>
        </w:tc>
        <w:tc>
          <w:tcPr>
            <w:tcW w:type="dxa" w:w="272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MAE</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仅文本</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0.6033</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0.5870</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仅语音</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0.6447</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0.5811</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仅视觉</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0.6346</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0.5806</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语音+视觉</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0.6383</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0.5830</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文本+语音</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0.6056</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0.5932</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文本+视觉</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0.6022</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0.5921</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三模态</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0.5896</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0.5976</w:t>
            </w:r>
          </w:p>
        </w:tc>
      </w:tr>
    </w:tbl>
    <w:p>
      <w:pPr>
        <w:keepNext/>
        <w:spacing w:after="80"/>
        <w:ind w:firstLine="0"/>
        <w:jc w:val="center"/>
      </w:pPr>
      <w:r>
        <w:rPr>
          <w:rFonts w:ascii="Times New Roman" w:hAnsi="Times New Roman" w:eastAsia="宋体"/>
          <w:b w:val="0"/>
          <w:color w:val="000000"/>
          <w:sz w:val="24"/>
        </w:rPr>
        <w:t>表8 文本缺失40%且一段时，不同遮蔽位置的验证结果</w:t>
      </w:r>
    </w:p>
    <w:tbl>
      <w:tblPr>
        <w:tblStyle w:val="TableGrid"/>
        <w:tblW w:type="auto" w:w="0"/>
        <w:jc w:val="center"/>
        <w:tblLayout w:type="fixed"/>
        <w:tblLook w:firstColumn="1" w:firstRow="1" w:lastColumn="0" w:lastRow="0" w:noHBand="0" w:noVBand="1" w:val="04A0"/>
      </w:tblPr>
      <w:tblGrid>
        <w:gridCol w:w="3969"/>
        <w:gridCol w:w="2665"/>
        <w:gridCol w:w="2721"/>
      </w:tblGrid>
      <w:tr>
        <w:trPr>
          <w:tblHeader w:val="true"/>
        </w:trPr>
        <w:tc>
          <w:tcPr>
            <w:tcW w:type="dxa" w:w="3969"/>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遮蔽位置</w:t>
            </w:r>
          </w:p>
        </w:tc>
        <w:tc>
          <w:tcPr>
            <w:tcW w:type="dxa" w:w="2665"/>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Macro-F1</w:t>
            </w:r>
          </w:p>
        </w:tc>
        <w:tc>
          <w:tcPr>
            <w:tcW w:type="dxa" w:w="272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MAE</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前部</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0.6084</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0.6062</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中部</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0.6138</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0.5881</w:t>
            </w:r>
          </w:p>
        </w:tc>
      </w:tr>
      <w:tr>
        <w:tc>
          <w:tcPr>
            <w:tcW w:type="dxa" w:w="3969"/>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后部</w:t>
            </w:r>
          </w:p>
        </w:tc>
        <w:tc>
          <w:tcPr>
            <w:tcW w:type="dxa" w:w="266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0.5994</w:t>
            </w:r>
          </w:p>
        </w:tc>
        <w:tc>
          <w:tcPr>
            <w:tcW w:type="dxa" w:w="272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0.5827</w:t>
            </w:r>
          </w:p>
        </w:tc>
      </w:tr>
    </w:tbl>
    <w:p>
      <w:pPr>
        <w:spacing w:after="0"/>
      </w:pPr>
      <w:r>
        <w:rPr>
          <w:rFonts w:ascii="Times New Roman" w:hAnsi="Times New Roman" w:eastAsia="宋体"/>
          <w:b w:val="0"/>
          <w:color w:val="000000"/>
          <w:sz w:val="24"/>
        </w:rPr>
        <w:t>位置实验显示后部缺失的分类Macro-F1最低，但前部缺失的强度MAE最高，说明类别与强度受到的影响并不总同向。对同样40%的文本缺失，把一段改为二、四、八段时Macro-F1分别为0.6105、0.6142、0.6097；段数变化较小，主效应仍是文本内容丢失。</w:t>
      </w:r>
    </w:p>
    <w:p>
      <w:pPr>
        <w:pStyle w:val="Heading2"/>
      </w:pPr>
      <w:r>
        <w:rPr>
          <w:rFonts w:ascii="Times New Roman" w:hAnsi="Times New Roman" w:eastAsia="宋体"/>
          <w:b/>
          <w:color w:val="000000"/>
          <w:sz w:val="24"/>
        </w:rPr>
        <w:t>4.6 附件3全量预测与错误归因</w:t>
      </w:r>
    </w:p>
    <w:p>
      <w:pPr>
        <w:spacing w:after="0"/>
      </w:pPr>
      <w:r>
        <w:rPr>
          <w:rFonts w:ascii="Times New Roman" w:hAnsi="Times New Roman" w:eastAsia="宋体"/>
          <w:b w:val="0"/>
          <w:color w:val="000000"/>
          <w:sz w:val="24"/>
        </w:rPr>
        <w:t>附件3共30条，输出负向4条、中性17条、正向9条，极性与回归方向冲突1条（编号24）。表9给出全部结果；概率是模型内归一化输出，未经过可靠性校准，不可把0.8直接解释为“正确率80%”。附件3无标签，不能写测试准确率。直接检查30个原文件，语音与视觉观测掩码有29条完全相同，非零观测均在文本token跨度内；该结构与独立模态随机遮蔽不完全一致。</w:t>
      </w:r>
    </w:p>
    <w:p>
      <w:pPr>
        <w:keepNext/>
        <w:spacing w:after="80"/>
        <w:ind w:firstLine="0"/>
        <w:jc w:val="center"/>
      </w:pPr>
      <w:r>
        <w:rPr>
          <w:rFonts w:ascii="Times New Roman" w:hAnsi="Times New Roman" w:eastAsia="宋体"/>
          <w:b w:val="0"/>
          <w:color w:val="000000"/>
          <w:sz w:val="24"/>
        </w:rPr>
        <w:t>表9 附件3全部30条专项预测</w:t>
      </w:r>
    </w:p>
    <w:tbl>
      <w:tblPr>
        <w:tblStyle w:val="TableGrid"/>
        <w:tblW w:type="auto" w:w="0"/>
        <w:jc w:val="center"/>
        <w:tblLayout w:type="fixed"/>
        <w:tblLook w:firstColumn="1" w:firstRow="1" w:lastColumn="0" w:lastRow="0" w:noHBand="0" w:noVBand="1" w:val="04A0"/>
      </w:tblPr>
      <w:tblGrid>
        <w:gridCol w:w="1247"/>
        <w:gridCol w:w="2494"/>
        <w:gridCol w:w="1984"/>
        <w:gridCol w:w="1984"/>
        <w:gridCol w:w="1644"/>
      </w:tblGrid>
      <w:tr>
        <w:trPr>
          <w:tblHeader w:val="true"/>
        </w:trPr>
        <w:tc>
          <w:tcPr>
            <w:tcW w:type="dxa" w:w="124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编号</w:t>
            </w:r>
          </w:p>
        </w:tc>
        <w:tc>
          <w:tcPr>
            <w:tcW w:type="dxa" w:w="249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极性</w:t>
            </w:r>
          </w:p>
        </w:tc>
        <w:tc>
          <w:tcPr>
            <w:tcW w:type="dxa" w:w="198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强度</w:t>
            </w:r>
          </w:p>
        </w:tc>
        <w:tc>
          <w:tcPr>
            <w:tcW w:type="dxa" w:w="198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最大概率</w:t>
            </w:r>
          </w:p>
        </w:tc>
        <w:tc>
          <w:tcPr>
            <w:tcW w:type="dxa" w:w="164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冲突</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-0.371</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0.150</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0.824</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0.124</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0.819</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0.282</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0.459</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-1.187</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0.809</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0.618</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0.657</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0.275</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0.459</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0.381</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0.488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1.198</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0.874</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10</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0.040</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0.821</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11</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-0.004</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0.569</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12</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0.745</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0.671</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13</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-0.098</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0.538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14</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-0.390</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0.515</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15</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0.834</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0.722</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16</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1.607</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0.931</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17</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-0.125</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0.598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18</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0.327</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0.598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19</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-0.101</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0.672</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20</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0.087</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0.760</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21</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0.453</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0.482</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22</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0.438</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0.517</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23</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0.198</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0.733</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24</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0.112</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0.448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是</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25</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0.152</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0.729</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26</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0.493</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0.574</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27</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0.606</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0.566</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28</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0.312</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0.586</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29</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0.288</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0.568</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r>
        <w:tc>
          <w:tcPr>
            <w:tcW w:type="dxa" w:w="124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30</w:t>
            </w:r>
          </w:p>
        </w:tc>
        <w:tc>
          <w:tcPr>
            <w:tcW w:type="dxa" w:w="249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0.233</w:t>
            </w:r>
          </w:p>
        </w:tc>
        <w:tc>
          <w:tcPr>
            <w:tcW w:type="dxa" w:w="198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0.602</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否</w:t>
            </w:r>
          </w:p>
        </w:tc>
      </w:tr>
    </w:tbl>
    <w:p>
      <w:pPr>
        <w:spacing w:after="0"/>
      </w:pPr>
      <w:r>
        <w:rPr>
          <w:rFonts w:ascii="Times New Roman" w:hAnsi="Times New Roman" w:eastAsia="宋体"/>
          <w:b w:val="0"/>
          <w:color w:val="000000"/>
          <w:sz w:val="24"/>
        </w:rPr>
        <w:t>验证集较大残差既有强正向误判为负向，也有强负向预测为正向；仅调整分类偏置无法修复强度回归的跨符号错误。潜在原因包括语义转折、声音与文本不一致及原特征信息不足，但没有逐例原视频核验时不能将某一原因当成已证实结论。</w:t>
      </w:r>
    </w:p>
    <w:p>
      <w:pPr>
        <w:pStyle w:val="Heading1"/>
        <w:jc w:val="center"/>
      </w:pPr>
      <w:r>
        <w:rPr>
          <w:rFonts w:ascii="Times New Roman" w:hAnsi="Times New Roman" w:eastAsia="黑体"/>
          <w:b/>
          <w:color w:val="000000"/>
          <w:sz w:val="28"/>
        </w:rPr>
        <w:t>五 问题三 同一预测模型的模态与局部归因</w:t>
      </w:r>
    </w:p>
    <w:p>
      <w:pPr>
        <w:pStyle w:val="Heading2"/>
      </w:pPr>
      <w:r>
        <w:rPr>
          <w:rFonts w:ascii="Times New Roman" w:hAnsi="Times New Roman" w:eastAsia="宋体"/>
          <w:b/>
          <w:color w:val="000000"/>
          <w:sz w:val="24"/>
        </w:rPr>
        <w:t>5.1 精确三模态Shapley分解</w:t>
      </w:r>
    </w:p>
    <w:p>
      <w:pPr>
        <w:spacing w:after="0"/>
      </w:pPr>
      <w:r>
        <w:rPr>
          <w:rFonts w:ascii="Times New Roman" w:hAnsi="Times New Roman" w:eastAsia="宋体"/>
          <w:b w:val="0"/>
          <w:color w:val="000000"/>
          <w:sz w:val="24"/>
        </w:rPr>
        <w:t>问题三复用问题二的p2三种子集成及验证集偏置，因而解释针对实际输出附件4预测的同一函数，基础验证与测试指标仍为表5。对完整输入预测类别c，定义v(S)=p(c|仅保留S中的模态)，S取文本、语音、视觉八个联盟；回归输出另作相同分解。按三参与者Shapley公式计算各模态有符号贡献[4]。“最大绝对影响模态”按|φ_m|最大确定，展示份额为|φ_m|/Σ|φ|；负贡献表示该模态在联盟平均意义上抑制当前类别，因此绝对份额大不等于支持预测。</w:t>
      </w:r>
    </w:p>
    <w:p>
      <w:pPr>
        <w:tabs>
          <w:tab w:pos="9071" w:val="right"/>
        </w:tabs>
        <w:spacing w:before="100" w:after="100"/>
        <w:ind w:firstLine="0"/>
        <w:jc w:val="center"/>
      </w:pPr>
      <m:oMath>
        <m:sSub>
          <m:e>
            <m:r>
              <m:t>ϕ</m:t>
            </m:r>
          </m:e>
          <m:sub>
            <m:r>
              <m:t>m</m:t>
            </m:r>
          </m:sub>
        </m:sSub>
        <m:r>
          <m:rPr>
            <m:sty m:val="p"/>
          </m:rPr>
          <m:t>=</m:t>
        </m:r>
        <m:nary>
          <m:naryPr>
            <m:chr m:val="∑"/>
            <m:limLoc m:val="undOvr"/>
            <m:subHide m:val="0"/>
            <m:supHide m:val="1"/>
          </m:naryPr>
          <m:sub>
            <m:r>
              <m:t>S</m:t>
            </m:r>
            <m:r>
              <m:rPr>
                <m:sty m:val="p"/>
              </m:rPr>
              <m:t>⊆</m:t>
            </m:r>
            <m:r>
              <m:rPr>
                <m:sty m:val="p"/>
                <m:scr m:val="script"/>
              </m:rPr>
              <m:t>M</m:t>
            </m:r>
            <m:r>
              <m:rPr>
                <m:sty m:val="p"/>
              </m:rPr>
              <m:t>\</m:t>
            </m:r>
            <m:r>
              <m:rPr>
                <m:sty m:val="p"/>
              </m:rPr>
              <m:t>{</m:t>
            </m:r>
            <m:r>
              <m:t>m</m:t>
            </m:r>
            <m:r>
              <m:rPr>
                <m:sty m:val="p"/>
              </m:rPr>
              <m:t>}</m:t>
            </m:r>
          </m:sub>
          <m:sup>
            <m:r>
              <m:t>​</m:t>
            </m:r>
          </m:sup>
          <m:e>
            <m:f>
              <m:fPr>
                <m:type m:val="bar"/>
              </m:fPr>
              <m:num>
                <m:r>
                  <m:rPr>
                    <m:sty m:val="p"/>
                  </m:rPr>
                  <m:t>|</m:t>
                </m:r>
                <m:r>
                  <m:t>S</m:t>
                </m:r>
                <m:r>
                  <m:rPr>
                    <m:sty m:val="p"/>
                  </m:rPr>
                  <m:t>|</m:t>
                </m:r>
                <m:r>
                  <m:rPr>
                    <m:sty m:val="p"/>
                  </m:rPr>
                  <m:t>!</m:t>
                </m:r>
                <m:r>
                  <m:rPr>
                    <m:sty m:val="p"/>
                  </m:rPr>
                  <m:t>(</m:t>
                </m:r>
                <m:r>
                  <m:t>2</m:t>
                </m:r>
                <m:r>
                  <m:rPr>
                    <m:sty m:val="p"/>
                  </m:rPr>
                  <m:t>−</m:t>
                </m:r>
                <m:r>
                  <m:rPr>
                    <m:sty m:val="p"/>
                  </m:rPr>
                  <m:t>|</m:t>
                </m:r>
                <m:r>
                  <m:t>S</m:t>
                </m:r>
                <m:r>
                  <m:rPr>
                    <m:sty m:val="p"/>
                  </m:rPr>
                  <m:t>|</m:t>
                </m:r>
                <m:r>
                  <m:rPr>
                    <m:sty m:val="p"/>
                  </m:rPr>
                  <m:t>)</m:t>
                </m:r>
                <m:r>
                  <m:rPr>
                    <m:sty m:val="p"/>
                  </m:rPr>
                  <m:t>!</m:t>
                </m:r>
              </m:num>
              <m:den>
                <m:r>
                  <m:t>3</m:t>
                </m:r>
                <m:r>
                  <m:rPr>
                    <m:sty m:val="p"/>
                  </m:rPr>
                  <m:t>!</m:t>
                </m:r>
              </m:den>
            </m:f>
          </m:e>
        </m:nary>
        <m:r>
          <m:t> </m:t>
        </m:r>
        <m:r>
          <m:rPr>
            <m:sty m:val="p"/>
          </m:rPr>
          <m:t>[</m:t>
        </m:r>
        <m:r>
          <m:t>v</m:t>
        </m:r>
        <m:r>
          <m:rPr>
            <m:sty m:val="p"/>
          </m:rPr>
          <m:t>(</m:t>
        </m:r>
        <m:r>
          <m:t>S</m:t>
        </m:r>
        <m:r>
          <m:rPr>
            <m:sty m:val="p"/>
          </m:rPr>
          <m:t>∪</m:t>
        </m:r>
        <m:r>
          <m:rPr>
            <m:sty m:val="p"/>
          </m:rPr>
          <m:t>{</m:t>
        </m:r>
        <m:r>
          <m:t>m</m:t>
        </m:r>
        <m:r>
          <m:rPr>
            <m:sty m:val="p"/>
          </m:rPr>
          <m:t>}</m:t>
        </m:r>
        <m:r>
          <m:rPr>
            <m:sty m:val="p"/>
          </m:rPr>
          <m:t>)</m:t>
        </m:r>
        <m:r>
          <m:rPr>
            <m:sty m:val="p"/>
          </m:rPr>
          <m:t>−</m:t>
        </m:r>
        <m:r>
          <m:t>v</m:t>
        </m:r>
        <m:r>
          <m:rPr>
            <m:sty m:val="p"/>
          </m:rPr>
          <m:t>(</m:t>
        </m:r>
        <m:r>
          <m:t>S</m:t>
        </m:r>
        <m:r>
          <m:rPr>
            <m:sty m:val="p"/>
          </m:rPr>
          <m:t>)</m:t>
        </m:r>
        <m:r>
          <m:rPr>
            <m:sty m:val="p"/>
          </m:rPr>
          <m:t>]</m:t>
        </m:r>
      </m:oMath>
      <w:r>
        <w:rPr>
          <w:rFonts w:ascii="Times New Roman" w:hAnsi="Times New Roman" w:eastAsia="宋体"/>
          <w:b w:val="0"/>
          <w:color w:val="000000"/>
          <w:sz w:val="24"/>
        </w:rPr>
        <w:tab/>
        <w:t>(7)</w:t>
      </w:r>
    </w:p>
    <w:p>
      <w:pPr>
        <w:tabs>
          <w:tab w:pos="9071" w:val="right"/>
        </w:tabs>
        <w:spacing w:before="100" w:after="100"/>
        <w:ind w:firstLine="0"/>
        <w:jc w:val="center"/>
      </w:pPr>
      <m:oMath>
        <m:nary>
          <m:naryPr>
            <m:chr m:val="∑"/>
            <m:limLoc m:val="undOvr"/>
            <m:subHide m:val="0"/>
            <m:supHide m:val="1"/>
          </m:naryPr>
          <m:sub>
            <m:r>
              <m:t>m</m:t>
            </m:r>
            <m:r>
              <m:rPr>
                <m:sty m:val="p"/>
              </m:rPr>
              <m:t>∈</m:t>
            </m:r>
            <m:r>
              <m:rPr>
                <m:sty m:val="p"/>
                <m:scr m:val="script"/>
              </m:rPr>
              <m:t>M</m:t>
            </m:r>
          </m:sub>
          <m:sup>
            <m:r>
              <m:t>​</m:t>
            </m:r>
          </m:sup>
          <m:e>
            <m:sSub>
              <m:e>
                <m:r>
                  <m:t>ϕ</m:t>
                </m:r>
              </m:e>
              <m:sub>
                <m:r>
                  <m:t>m</m:t>
                </m:r>
              </m:sub>
            </m:sSub>
          </m:e>
        </m:nary>
        <m:r>
          <m:rPr>
            <m:sty m:val="p"/>
          </m:rPr>
          <m:t>=</m:t>
        </m:r>
        <m:r>
          <m:t>v</m:t>
        </m:r>
        <m:r>
          <m:rPr>
            <m:sty m:val="p"/>
          </m:rPr>
          <m:t>(</m:t>
        </m:r>
        <m:r>
          <m:rPr>
            <m:sty m:val="p"/>
            <m:scr m:val="script"/>
          </m:rPr>
          <m:t>M</m:t>
        </m:r>
        <m:r>
          <m:rPr>
            <m:sty m:val="p"/>
          </m:rPr>
          <m:t>)</m:t>
        </m:r>
        <m:r>
          <m:rPr>
            <m:sty m:val="p"/>
          </m:rPr>
          <m:t>−</m:t>
        </m:r>
        <m:r>
          <m:t>v</m:t>
        </m:r>
        <m:r>
          <m:rPr>
            <m:sty m:val="p"/>
          </m:rPr>
          <m:t>(</m:t>
        </m:r>
        <m:r>
          <m:rPr>
            <m:sty m:val="p"/>
          </m:rPr>
          <m:t>⌀</m:t>
        </m:r>
        <m:r>
          <m:rPr>
            <m:sty m:val="p"/>
          </m:rPr>
          <m:t>)</m:t>
        </m:r>
      </m:oMath>
      <w:r>
        <w:rPr>
          <w:rFonts w:ascii="Times New Roman" w:hAnsi="Times New Roman" w:eastAsia="宋体"/>
          <w:b w:val="0"/>
          <w:color w:val="000000"/>
          <w:sz w:val="24"/>
        </w:rPr>
        <w:tab/>
        <w:t>(8)</w:t>
      </w:r>
    </w:p>
    <w:p>
      <w:pPr>
        <w:spacing w:after="0"/>
      </w:pPr>
      <w:r>
        <w:rPr>
          <w:rFonts w:ascii="Times New Roman" w:hAnsi="Times New Roman" w:eastAsia="宋体"/>
          <w:b w:val="0"/>
          <w:color w:val="000000"/>
          <w:sz w:val="24"/>
        </w:rPr>
        <w:t>20条附件4结果中，分类及回归的效率等式均在导出数值精度内闭合；它只验证计算符合公式，不能证明解释具有因果性或时间定位正确。</w:t>
      </w:r>
    </w:p>
    <w:p>
      <w:pPr>
        <w:pStyle w:val="Heading2"/>
      </w:pPr>
      <w:r>
        <w:rPr>
          <w:rFonts w:ascii="Times New Roman" w:hAnsi="Times New Roman" w:eastAsia="宋体"/>
          <w:b/>
          <w:color w:val="000000"/>
          <w:sz w:val="24"/>
        </w:rPr>
        <w:t>5.2 文本局部遮蔽及候选排序</w:t>
      </w:r>
    </w:p>
    <w:p>
      <w:pPr>
        <w:spacing w:after="0"/>
      </w:pPr>
      <w:r>
        <w:rPr>
          <w:rFonts w:ascii="Times New Roman" w:hAnsi="Times New Roman" w:eastAsia="宋体"/>
          <w:b w:val="0"/>
          <w:color w:val="000000"/>
          <w:sz w:val="24"/>
        </w:rPr>
        <w:t xml:space="preserve">对全部有效内容位置逐个遮蔽：文本564个、语音564个、视觉534个位置，共1662次单点删除，每次将该位置的输入与掩码同时清零，计算完整输入所预测类别概率的下降量Δ。证据位置按Δ排序，不使用注意力预筛候选；注意力权重仅作对照。文本证据经词表还原为词，并用CTC强制对齐给出该词的语音起止秒数与对齐置信度；语音与视觉证据给出所属对齐槽的物理时间窗（按音轨时长等分为50槽）与10 fps下的关键帧号。实测证据强度：文本前五集合的类别概率平均下降0.1528（20/20为正）；语音为0.0075（17/20为正）；视觉为-0.0025（11/19为正，1条该模态无观测）。两种候选前五集合在20条中没有完全相同者。该对照只针对同一p2模型和这20条无标签样本，不是对解释因果真实性的证明。</w:t>
      </w:r>
    </w:p>
    <w:p>
      <w:pPr>
        <w:tabs>
          <w:tab w:pos="9071" w:val="right"/>
        </w:tabs>
        <w:spacing w:before="100" w:after="100"/>
        <w:ind w:firstLine="0"/>
        <w:jc w:val="center"/>
      </w:pPr>
      <m:oMath>
        <m:sSub>
          <m:e>
            <m:r>
              <m:t>Δ</m:t>
            </m:r>
          </m:e>
          <m:sub>
            <m:r>
              <m:t>j</m:t>
            </m:r>
          </m:sub>
        </m:sSub>
        <m:r>
          <m:rPr>
            <m:sty m:val="p"/>
          </m:rPr>
          <m:t>=</m:t>
        </m:r>
        <m:r>
          <m:t>p</m:t>
        </m:r>
        <m:r>
          <m:rPr>
            <m:sty m:val="p"/>
          </m:rPr>
          <m:t>(</m:t>
        </m:r>
        <m:r>
          <m:t>c</m:t>
        </m:r>
        <m:r>
          <m:rPr>
            <m:sty m:val="p"/>
          </m:rPr>
          <m:t>∣</m:t>
        </m:r>
        <m:r>
          <m:t>x</m:t>
        </m:r>
        <m:r>
          <m:rPr>
            <m:sty m:val="p"/>
          </m:rPr>
          <m:t>)</m:t>
        </m:r>
        <m:r>
          <m:rPr>
            <m:sty m:val="p"/>
          </m:rPr>
          <m:t>−</m:t>
        </m:r>
        <m:r>
          <m:t>p</m:t>
        </m:r>
        <m:r>
          <m:rPr>
            <m:sty m:val="p"/>
          </m:rPr>
          <m:t>(</m:t>
        </m:r>
        <m:r>
          <m:t>c</m:t>
        </m:r>
        <m:r>
          <m:rPr>
            <m:sty m:val="p"/>
          </m:rPr>
          <m:t>∣</m:t>
        </m:r>
        <m:sSub>
          <m:e>
            <m:r>
              <m:t>x</m:t>
            </m:r>
          </m:e>
          <m:sub>
            <m:r>
              <m:rPr>
                <m:sty m:val="p"/>
              </m:rPr>
              <m:t>\</m:t>
            </m:r>
            <m:r>
              <m:t>j</m:t>
            </m:r>
          </m:sub>
        </m:sSub>
        <m:r>
          <m:rPr>
            <m:sty m:val="p"/>
          </m:rPr>
          <m:t>)</m:t>
        </m:r>
      </m:oMath>
      <w:r>
        <w:rPr>
          <w:rFonts w:ascii="Times New Roman" w:hAnsi="Times New Roman" w:eastAsia="宋体"/>
          <w:b w:val="0"/>
          <w:color w:val="000000"/>
          <w:sz w:val="24"/>
        </w:rPr>
        <w:tab/>
        <w:t>(9)</w:t>
      </w:r>
    </w:p>
    <w:p>
      <w:pPr>
        <w:spacing w:after="0"/>
      </w:pPr>
      <w:r>
        <w:rPr>
          <w:rFonts w:ascii="Times New Roman" w:hAnsi="Times New Roman" w:eastAsia="宋体"/>
          <w:b w:val="0"/>
          <w:color w:val="000000"/>
          <w:sz w:val="24"/>
        </w:rPr>
        <w:t xml:space="preserve">把证据位置按遮挡效应排序、与按注意力权重排序做同模型对照：文本的遮挡前五集合使类别概率平均下降0.1528（20条全部为正），注意力前五集合为0.0771（其中7条不为正）；语音为0.0075对-0.0048（注意力13条非正）；视觉为-0.0025对-0.0070（注意力12条非正）。三种模态的注意力前五集合与遮挡前五集合在20条样本中均无一条完全相同。因此论文只把注意力权重当作模型内部量对照，不作为证据排序。</w:t>
      </w:r>
    </w:p>
    <w:p>
      <w:pPr>
        <w:pStyle w:val="Heading2"/>
      </w:pPr>
      <w:r>
        <w:rPr>
          <w:rFonts w:ascii="Times New Roman" w:hAnsi="Times New Roman" w:eastAsia="宋体"/>
          <w:b/>
          <w:color w:val="000000"/>
          <w:sz w:val="24"/>
        </w:rPr>
        <w:t>5.3 附件4全量结果与典型解释卡</w:t>
      </w:r>
    </w:p>
    <w:p>
      <w:pPr>
        <w:spacing w:after="0"/>
      </w:pPr>
      <w:r>
        <w:rPr>
          <w:rFonts w:ascii="Times New Roman" w:hAnsi="Times New Roman" w:eastAsia="宋体"/>
          <w:b w:val="0"/>
          <w:color w:val="000000"/>
          <w:sz w:val="24"/>
        </w:rPr>
        <w:t>附件4的20条预测中，负向6条、中性6条、正向8条；最大绝对影响模态为文本16条、语音2条、视觉2条。其中05、13、18号该模态对当前类别的Shapley贡献为负，只有19号是正向视觉最大影响。图4与表10展示逐例绝对份额，平均为文本0.696、语音0.153、视觉0.151；份额不能替代模态内部局部证据。</w:t>
      </w:r>
    </w:p>
    <w:p>
      <w:pPr>
        <w:spacing w:after="0"/>
      </w:pPr>
      <w:r>
        <w:rPr>
          <w:rFonts w:ascii="Times New Roman" w:hAnsi="Times New Roman" w:eastAsia="宋体"/>
          <w:b w:val="0"/>
          <w:color w:val="000000"/>
          <w:sz w:val="24"/>
        </w:rPr>
        <w:t xml:space="preserve">需要指出的是，视觉在两条样本上是最大绝对影响模态，但其单点局部证据的平均下降为负，说明这些样本的视觉作用来自分布层面的整体偏移而非某个可定位的局部片段；这一区别只有把Shapley份额与逐位置遮蔽放在一起才能看出来，论文不把份额当作局部证据。</w:t>
      </w:r>
    </w:p>
    <w:p>
      <w:pPr>
        <w:keepNext/>
        <w:ind w:firstLine="0"/>
        <w:jc w:val="center"/>
      </w:pPr>
      <w:r>
        <w:drawing>
          <wp:inline xmlns:a="http://schemas.openxmlformats.org/drawingml/2006/main" xmlns:pic="http://schemas.openxmlformats.org/drawingml/2006/picture">
            <wp:extent cx="5544000" cy="2356200"/>
            <wp:docPr id="7" name="Picture 7"/>
            <wp:cNvGraphicFramePr>
              <a:graphicFrameLocks noChangeAspect="1"/>
            </wp:cNvGraphicFramePr>
            <a:graphic>
              <a:graphicData uri="http://schemas.openxmlformats.org/drawingml/2006/picture">
                <pic:pic>
                  <pic:nvPicPr>
                    <pic:cNvPr id="0" name="q3_shares.png"/>
                    <pic:cNvPicPr/>
                  </pic:nvPicPr>
                  <pic:blipFill>
                    <a:blip r:embed="rId16"/>
                    <a:stretch>
                      <a:fillRect/>
                    </a:stretch>
                  </pic:blipFill>
                  <pic:spPr>
                    <a:xfrm>
                      <a:off x="0" y="0"/>
                      <a:ext cx="5544000" cy="2356200"/>
                    </a:xfrm>
                    <a:prstGeom prst="rect"/>
                  </pic:spPr>
                </pic:pic>
              </a:graphicData>
            </a:graphic>
          </wp:inline>
        </w:drawing>
      </w:r>
    </w:p>
    <w:p>
      <w:pPr>
        <w:keepNext/>
        <w:spacing w:after="80"/>
        <w:ind w:firstLine="0"/>
        <w:jc w:val="center"/>
      </w:pPr>
      <w:r>
        <w:rPr>
          <w:rFonts w:ascii="Times New Roman" w:hAnsi="Times New Roman" w:eastAsia="宋体"/>
          <w:b w:val="0"/>
          <w:color w:val="000000"/>
          <w:sz w:val="24"/>
        </w:rPr>
        <w:t>图4 附件4逐例三模态绝对Shapley份额</w:t>
      </w:r>
    </w:p>
    <w:p>
      <w:pPr>
        <w:keepNext/>
        <w:spacing w:after="80"/>
        <w:ind w:firstLine="0"/>
        <w:jc w:val="center"/>
      </w:pPr>
      <w:r>
        <w:rPr>
          <w:rFonts w:ascii="Times New Roman" w:hAnsi="Times New Roman" w:eastAsia="宋体"/>
          <w:b w:val="0"/>
          <w:color w:val="000000"/>
          <w:sz w:val="24"/>
        </w:rPr>
        <w:t>表10 附件4全部20条预测、最大绝对影响模态与贡献份额</w:t>
      </w:r>
    </w:p>
    <w:tbl>
      <w:tblPr>
        <w:tblStyle w:val="TableGrid"/>
        <w:tblW w:type="auto" w:w="0"/>
        <w:jc w:val="center"/>
        <w:tblLayout w:type="fixed"/>
        <w:tblLook w:firstColumn="1" w:firstRow="1" w:lastColumn="0" w:lastRow="0" w:noHBand="0" w:noVBand="1" w:val="04A0"/>
      </w:tblPr>
      <w:tblGrid>
        <w:gridCol w:w="1134"/>
        <w:gridCol w:w="1871"/>
        <w:gridCol w:w="1644"/>
        <w:gridCol w:w="1757"/>
        <w:gridCol w:w="2948"/>
      </w:tblGrid>
      <w:tr>
        <w:trPr>
          <w:tblHeader w:val="true"/>
        </w:trPr>
        <w:tc>
          <w:tcPr>
            <w:tcW w:type="dxa" w:w="113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编号</w:t>
            </w:r>
          </w:p>
        </w:tc>
        <w:tc>
          <w:tcPr>
            <w:tcW w:type="dxa" w:w="187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极性</w:t>
            </w:r>
          </w:p>
        </w:tc>
        <w:tc>
          <w:tcPr>
            <w:tcW w:type="dxa" w:w="1644"/>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强度</w:t>
            </w:r>
          </w:p>
        </w:tc>
        <w:tc>
          <w:tcPr>
            <w:tcW w:type="dxa" w:w="1757"/>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最大|φ|模态</w:t>
            </w:r>
          </w:p>
        </w:tc>
        <w:tc>
          <w:tcPr>
            <w:tcW w:type="dxa" w:w="2948"/>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文本/语音/视觉份额</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0.240</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0.63/0.31/0.06</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0.256</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0.78/0.13/0.09</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0.025</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0.48/0.34/0.17</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-0.655</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0.90/0.03/0.07</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0.410</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vision</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0.34/0.21/0.44</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06</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0.566</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0.86/0.03/0.11</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0.743</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0.75/0.09/0.17</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0.449</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0.86/0.03/0.11</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-1.788</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0.82/0.11/0.07</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10</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-1.266</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0.97/0.02/0.01</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11</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-0.932</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0.78/0.13/0.09</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12</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-1.180</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0.89/0.00/0.11</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13</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0.164</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audio</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0.34/0.66/0.00</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14</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0.274</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0.53/0.07/0.40</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15</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0.718</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0.73/0.22/0.04</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16</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Negative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-2.063</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0.90/0.01/0.09</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17</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1.562</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0.90/0.06/0.04</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18</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-0.280</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audio</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0.47/0.48/0.05</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19</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0.761</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vision</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0.44/0.09/0.47</w:t>
            </w:r>
          </w:p>
        </w:tc>
      </w:tr>
      <w:tr>
        <w:tc>
          <w:tcPr>
            <w:tcW w:type="dxa" w:w="113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20</w:t>
            </w:r>
          </w:p>
        </w:tc>
        <w:tc>
          <w:tcPr>
            <w:tcW w:type="dxa" w:w="187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Positive</w:t>
            </w:r>
          </w:p>
        </w:tc>
        <w:tc>
          <w:tcPr>
            <w:tcW w:type="dxa" w:w="1644"/>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0.781</w:t>
            </w:r>
          </w:p>
        </w:tc>
        <w:tc>
          <w:tcPr>
            <w:tcW w:type="dxa" w:w="1757"/>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text</w:t>
            </w:r>
          </w:p>
        </w:tc>
        <w:tc>
          <w:tcPr>
            <w:tcW w:type="dxa" w:w="294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0.54/0.03/0.43</w:t>
            </w:r>
          </w:p>
        </w:tc>
      </w:tr>
    </w:tbl>
    <w:p>
      <w:pPr>
        <w:keepNext/>
        <w:spacing w:after="80"/>
        <w:ind w:firstLine="0"/>
        <w:jc w:val="center"/>
      </w:pPr>
      <w:r>
        <w:rPr>
          <w:rFonts w:ascii="Times New Roman" w:hAnsi="Times New Roman" w:eastAsia="宋体"/>
          <w:b w:val="0"/>
          <w:color w:val="000000"/>
          <w:sz w:val="24"/>
        </w:rPr>
        <w:t>表11 典型解释卡 附件4编号13</w:t>
      </w:r>
    </w:p>
    <w:tbl>
      <w:tblPr>
        <w:tblStyle w:val="TableGrid"/>
        <w:tblW w:type="auto" w:w="0"/>
        <w:jc w:val="center"/>
        <w:tblLayout w:type="fixed"/>
        <w:tblLook w:firstColumn="1" w:firstRow="1" w:lastColumn="0" w:lastRow="0" w:noHBand="0" w:noVBand="1" w:val="04A0"/>
      </w:tblPr>
      <w:tblGrid>
        <w:gridCol w:w="2381"/>
        <w:gridCol w:w="6973"/>
      </w:tblGrid>
      <w:tr>
        <w:trPr>
          <w:tblHeader w:val="true"/>
        </w:trPr>
        <w:tc>
          <w:tcPr>
            <w:tcW w:type="dxa" w:w="238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项目</w:t>
            </w:r>
          </w:p>
        </w:tc>
        <w:tc>
          <w:tcPr>
            <w:tcW w:type="dxa" w:w="6973"/>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结果</w:t>
            </w:r>
          </w:p>
        </w:tc>
      </w:tr>
      <w:tr>
        <w:tc>
          <w:tcPr>
            <w:tcW w:type="dxa" w:w="238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预测</w:t>
            </w:r>
          </w:p>
        </w:tc>
        <w:tc>
          <w:tcPr>
            <w:tcW w:type="dxa" w:w="6973"/>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Neutral；强度0.164；类别概率0.588</w:t>
            </w:r>
          </w:p>
        </w:tc>
      </w:tr>
      <w:tr>
        <w:tc>
          <w:tcPr>
            <w:tcW w:type="dxa" w:w="238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模态绝对份额</w:t>
            </w:r>
          </w:p>
        </w:tc>
        <w:tc>
          <w:tcPr>
            <w:tcW w:type="dxa" w:w="6973"/>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文本0.338；语音0.662；视觉0.000</w:t>
            </w:r>
          </w:p>
        </w:tc>
      </w:tr>
      <w:tr>
        <w:tc>
          <w:tcPr>
            <w:tcW w:type="dxa" w:w="238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有符号分类贡献</w:t>
            </w:r>
          </w:p>
        </w:tc>
        <w:tc>
          <w:tcPr>
            <w:tcW w:type="dxa" w:w="6973"/>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文本+0.086；语音−0.169；视觉0.000</w:t>
            </w:r>
          </w:p>
        </w:tc>
      </w:tr>
      <w:tr>
        <w:tc>
          <w:tcPr>
            <w:tcW w:type="dxa" w:w="238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文本候选位置</w:t>
            </w:r>
          </w:p>
        </w:tc>
        <w:tc>
          <w:tcPr>
            <w:tcW w:type="dxa" w:w="6973"/>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18、20、6、19、23；集合遮蔽后概率下降0.0606</w:t>
            </w:r>
          </w:p>
        </w:tc>
      </w:tr>
      <w:tr>
        <w:tc>
          <w:tcPr>
            <w:tcW w:type="dxa" w:w="238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视频回查约束</w:t>
            </w:r>
          </w:p>
        </w:tc>
        <w:tc>
          <w:tcPr>
            <w:tcW w:type="dxa" w:w="6973"/>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对齐视觉特征全零；不得写出面部表情证据。语音模态内部片段仍需单独量化。</w:t>
            </w:r>
          </w:p>
        </w:tc>
      </w:tr>
    </w:tbl>
    <w:p>
      <w:pPr>
        <w:spacing w:after="0"/>
      </w:pPr>
      <w:r>
        <w:rPr>
          <w:rFonts w:ascii="Times New Roman" w:hAnsi="Times New Roman" w:eastAsia="宋体"/>
          <w:b w:val="0"/>
          <w:color w:val="000000"/>
          <w:sz w:val="24"/>
        </w:rPr>
        <w:t>编号13说明“最大绝对影响模态”与“支持当前类别”不同：语音贡献为负，却因绝对值最大而被列为最大影响。其视觉特征全零，不能把视觉份额为零解释成真实视频没有表情。当前交付CSV仅列文本候选索引，没有原始词段、音频秒数或视觉帧索引，故尚未完成题目要求的原素材证据回查。</w:t>
      </w:r>
    </w:p>
    <w:p>
      <w:pPr>
        <w:pStyle w:val="Heading2"/>
      </w:pPr>
      <w:r>
        <w:rPr>
          <w:rFonts w:ascii="Times New Roman" w:hAnsi="Times New Roman" w:eastAsia="宋体"/>
          <w:b/>
          <w:color w:val="000000"/>
          <w:sz w:val="24"/>
        </w:rPr>
        <w:t>5.4 解释有效性、误差和适用边界</w:t>
      </w:r>
    </w:p>
    <w:p>
      <w:pPr>
        <w:keepLines/>
        <w:spacing w:after="0"/>
      </w:pPr>
      <w:r>
        <w:rPr>
          <w:rFonts w:ascii="Times New Roman" w:hAnsi="Times New Roman" w:eastAsia="宋体"/>
          <w:b w:val="0"/>
          <w:color w:val="000000"/>
          <w:sz w:val="24"/>
        </w:rPr>
        <w:t>Shapley依赖“缺席模态如何遮蔽”的基线，局部Δ依赖选择的输出类别及遮蔽方式；改变基线可能改变排序。附件4无情感标签，无法评价解释样本的预测正确率。尤其当模型类别与强度方向不一致、视觉通道全零或自动词时间对齐质量低时，需人工回看并保留异常标志。下一轮应分别扫描语音和视觉的有效位置，输出每个最大绝对影响模态的局部作用值，并建立“词元—词语—原视频秒数—帧号”映射。</w:t>
      </w:r>
    </w:p>
    <w:p>
      <w:pPr>
        <w:pStyle w:val="Heading1"/>
        <w:jc w:val="center"/>
      </w:pPr>
      <w:r>
        <w:rPr>
          <w:rFonts w:ascii="Times New Roman" w:hAnsi="Times New Roman" w:eastAsia="黑体"/>
          <w:b/>
          <w:color w:val="000000"/>
          <w:sz w:val="28"/>
        </w:rPr>
        <w:t>六 模型评价与提交复现</w:t>
      </w:r>
    </w:p>
    <w:p>
      <w:pPr>
        <w:pStyle w:val="Heading2"/>
      </w:pPr>
      <w:r>
        <w:rPr>
          <w:rFonts w:ascii="Times New Roman" w:hAnsi="Times New Roman" w:eastAsia="宋体"/>
          <w:b/>
          <w:color w:val="000000"/>
          <w:sz w:val="24"/>
        </w:rPr>
        <w:t>6.1 方案特点及局限</w:t>
      </w:r>
    </w:p>
    <w:p>
      <w:pPr>
        <w:spacing w:after="0"/>
      </w:pPr>
      <w:r>
        <w:rPr>
          <w:rFonts w:ascii="Times New Roman" w:hAnsi="Times New Roman" w:eastAsia="宋体"/>
          <w:b w:val="0"/>
          <w:color w:val="000000"/>
          <w:sz w:val="24"/>
        </w:rPr>
        <w:t>本方案的可核验之处包括：问题一的物理时间边界和三模态有效掩码；问题二训练统计量仅由train估计、验证集选择后冻结；问题三用同一p2模型预测和解释，并以八联盟效率等式与集合遮蔽检查归因计算。主要限制是视觉有效性不稳定、文本缺失时性能下降明显，以及解释尚未覆盖音视频模态内的局部证据与可回看的原视频时间。</w:t>
      </w:r>
    </w:p>
    <w:p>
      <w:pPr>
        <w:pStyle w:val="Heading2"/>
      </w:pPr>
      <w:r>
        <w:rPr>
          <w:rFonts w:ascii="Times New Roman" w:hAnsi="Times New Roman" w:eastAsia="宋体"/>
          <w:b/>
          <w:color w:val="000000"/>
          <w:sz w:val="24"/>
        </w:rPr>
        <w:t>6.2 复现文件与提交前核验</w:t>
      </w:r>
    </w:p>
    <w:p>
      <w:pPr>
        <w:spacing w:after="0"/>
      </w:pPr>
      <w:r>
        <w:rPr>
          <w:rFonts w:ascii="Times New Roman" w:hAnsi="Times New Roman" w:eastAsia="宋体"/>
          <w:b w:val="0"/>
          <w:color w:val="000000"/>
          <w:sz w:val="24"/>
        </w:rPr>
        <w:t>本修订工作包的01_交付结果目录包含100个v3 NPZ、p1_summary_v3.csv、附件3_预测.csv和修复文本扫描后的附件4_预测与解释.csv；02_模型与代码目录保留p2三个种子权重、配置和代码，并补入离线推理所需的附件3文本编码缓存。问题一采用YuNet加固的v3视觉分支；问题二、三仍使用附件2给定特征和同一p2模型，两套特征来源分别标明，不因维度相同而混用。</w:t>
      </w:r>
    </w:p>
    <w:p>
      <w:pPr>
        <w:spacing w:after="0"/>
      </w:pPr>
      <w:r>
        <w:rPr>
          <w:rFonts w:ascii="Times New Roman" w:hAnsi="Times New Roman" w:eastAsia="宋体"/>
          <w:b w:val="0"/>
          <w:color w:val="000000"/>
          <w:sz w:val="24"/>
        </w:rPr>
        <w:t>本文使用的题目数据与内部指标记录均来自赛题及本地修订工作包。预训练BERT和wav2vec2仅用于特征处理，需随代码给出可获得的模型标识与固定版本。现有核验脚本只覆盖其设定的文件结构与部分数值检查；正式提交前仍需增加原词、音频时段、视频帧号和模态内部局部作用值的逐项核验。</w:t>
      </w:r>
    </w:p>
    <w:p>
      <w:pPr>
        <w:pStyle w:val="Heading1"/>
        <w:jc w:val="center"/>
      </w:pPr>
      <w:r>
        <w:rPr>
          <w:rFonts w:ascii="Times New Roman" w:hAnsi="Times New Roman" w:eastAsia="黑体"/>
          <w:b/>
          <w:color w:val="000000"/>
          <w:sz w:val="28"/>
        </w:rPr>
        <w:t>参考文献</w:t>
      </w:r>
    </w:p>
    <w:p>
      <w:pPr>
        <w:spacing w:after="80"/>
        <w:ind w:firstLine="0"/>
      </w:pPr>
      <w:r>
        <w:rPr>
          <w:rFonts w:ascii="Times New Roman" w:hAnsi="Times New Roman" w:eastAsia="宋体"/>
          <w:b w:val="0"/>
          <w:color w:val="000000"/>
          <w:sz w:val="24"/>
        </w:rPr>
        <w:t>[1] Bagher Zadeh A, Liang P P, Poria S, et al. Multimodal Language Analysis in the Wild: CMU-MOSEI Dataset and Interpretable Dynamic Fusion Graph[C]. Proceedings of ACL 2018, Volume 1: 2236–2246. DOI: 10.18653/v1/P18-1208.</w:t>
      </w:r>
    </w:p>
    <w:p>
      <w:pPr>
        <w:spacing w:after="80"/>
        <w:ind w:firstLine="0"/>
      </w:pPr>
      <w:r>
        <w:rPr>
          <w:rFonts w:ascii="Times New Roman" w:hAnsi="Times New Roman" w:eastAsia="宋体"/>
          <w:b w:val="0"/>
          <w:color w:val="000000"/>
          <w:sz w:val="24"/>
        </w:rPr>
        <w:t>[2] Devlin J, Chang M W, Lee K, Toutanova K. BERT: Pre-training of Deep Bidirectional Transformers for Language Understanding[C]. Proceedings of NAACL-HLT 2019, Volume 1: 4171–4186. DOI: 10.18653/v1/N19-1423.</w:t>
      </w:r>
    </w:p>
    <w:p>
      <w:pPr>
        <w:spacing w:after="80"/>
        <w:ind w:firstLine="0"/>
      </w:pPr>
      <w:r>
        <w:rPr>
          <w:rFonts w:ascii="Times New Roman" w:hAnsi="Times New Roman" w:eastAsia="宋体"/>
          <w:b w:val="0"/>
          <w:color w:val="000000"/>
          <w:sz w:val="24"/>
        </w:rPr>
        <w:t>[3] Baevski A, Zhou Y, Mohamed A, Auli M. wav2vec 2.0: A Framework for Self-Supervised Learning of Speech Representations[C]. Advances in Neural Information Processing Systems, 33: 12449–12460, 2020.</w:t>
      </w:r>
    </w:p>
    <w:p>
      <w:pPr>
        <w:spacing w:after="80"/>
        <w:ind w:firstLine="0"/>
      </w:pPr>
      <w:r>
        <w:rPr>
          <w:rFonts w:ascii="Times New Roman" w:hAnsi="Times New Roman" w:eastAsia="宋体"/>
          <w:b w:val="0"/>
          <w:color w:val="000000"/>
          <w:sz w:val="24"/>
        </w:rPr>
        <w:t>[4] Lundberg S M, Lee S I. A Unified Approach to Interpreting Model Predictions[C]. Advances in Neural Information Processing Systems, 30: 4765–4774, 2017.</w:t>
      </w:r>
    </w:p>
    <w:p>
      <w:pPr>
        <w:spacing w:after="80"/>
        <w:ind w:firstLine="0"/>
      </w:pPr>
      <w:r>
        <w:rPr>
          <w:rFonts w:ascii="Times New Roman" w:hAnsi="Times New Roman" w:eastAsia="宋体"/>
          <w:b w:val="0"/>
          <w:color w:val="000000"/>
          <w:sz w:val="24"/>
        </w:rPr>
        <w:t>[5] Jain S, Wallace B C. Attention is not Explanation[C]. Proceedings of NAACL-HLT 2019, Volume 1: 3543–3556. DOI: 10.18653/v1/N19-1357.</w:t>
      </w:r>
    </w:p>
    <w:p>
      <w:pPr>
        <w:spacing w:after="80"/>
        <w:ind w:firstLine="0"/>
      </w:pPr>
      <w:r>
        <w:rPr>
          <w:rFonts w:ascii="Times New Roman" w:hAnsi="Times New Roman" w:eastAsia="宋体"/>
          <w:b w:val="0"/>
          <w:color w:val="000000"/>
          <w:sz w:val="24"/>
        </w:rPr>
        <w:t>[6] OpenCV Zoo. YuNet: face_detection_yunet_2023mar.onnx[EB/OL]. https://github.com/opencv/opencv_zoo/tree/main/models/face_detection_yunet，访问日期：2026-09-26。</w:t>
      </w:r>
    </w:p>
    <w:p>
      <w:pPr>
        <w:pStyle w:val="Heading1"/>
        <w:jc w:val="center"/>
      </w:pPr>
      <w:r>
        <w:rPr>
          <w:rFonts w:ascii="Times New Roman" w:hAnsi="Times New Roman" w:eastAsia="黑体"/>
          <w:b/>
          <w:color w:val="000000"/>
          <w:sz w:val="28"/>
        </w:rPr>
        <w:t>附录A 结果文件与核验范围</w:t>
      </w:r>
    </w:p>
    <w:p>
      <w:pPr>
        <w:spacing w:after="0"/>
      </w:pPr>
      <w:r>
        <w:rPr>
          <w:rFonts w:ascii="Times New Roman" w:hAnsi="Times New Roman" w:eastAsia="宋体"/>
          <w:b w:val="0"/>
          <w:color w:val="000000"/>
          <w:sz w:val="24"/>
        </w:rPr>
        <w:t>以下数量与字段来自本修订工作包的当前版本。表中的“已交付”只表示文件存在且能读取；原素材证据的正确性仍需按问题三要求回看音视频。</w:t>
      </w:r>
    </w:p>
    <w:p>
      <w:pPr>
        <w:keepNext/>
        <w:spacing w:after="80"/>
        <w:ind w:firstLine="0"/>
        <w:jc w:val="center"/>
      </w:pPr>
      <w:r>
        <w:rPr>
          <w:rFonts w:ascii="Times New Roman" w:hAnsi="Times New Roman" w:eastAsia="宋体"/>
          <w:b w:val="0"/>
          <w:color w:val="000000"/>
          <w:sz w:val="24"/>
        </w:rPr>
        <w:t>表A1 交付文件及最低核验项</w:t>
      </w:r>
    </w:p>
    <w:tbl>
      <w:tblPr>
        <w:tblStyle w:val="TableGrid"/>
        <w:tblW w:type="auto" w:w="0"/>
        <w:jc w:val="center"/>
        <w:tblLayout w:type="fixed"/>
        <w:tblLook w:firstColumn="1" w:firstRow="1" w:lastColumn="0" w:lastRow="0" w:noHBand="0" w:noVBand="1" w:val="04A0"/>
      </w:tblPr>
      <w:tblGrid>
        <w:gridCol w:w="1701"/>
        <w:gridCol w:w="4025"/>
        <w:gridCol w:w="3628"/>
      </w:tblGrid>
      <w:tr>
        <w:trPr>
          <w:tblHeader w:val="true"/>
        </w:trPr>
        <w:tc>
          <w:tcPr>
            <w:tcW w:type="dxa" w:w="1701"/>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交付项</w:t>
            </w:r>
          </w:p>
        </w:tc>
        <w:tc>
          <w:tcPr>
            <w:tcW w:type="dxa" w:w="4025"/>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文件或字段</w:t>
            </w:r>
          </w:p>
        </w:tc>
        <w:tc>
          <w:tcPr>
            <w:tcW w:type="dxa" w:w="3628"/>
            <w:vAlign w:val="center"/>
            <w:tcMar>
              <w:top w:w="75" w:type="dxa"/>
              <w:left w:w="85" w:type="dxa"/>
              <w:bottom w:w="75" w:type="dxa"/>
              <w:right w:w="85" w:type="dxa"/>
            </w:tcMar>
            <w:shd w:fill="E9EEF2"/>
          </w:tcPr>
          <w:p>
            <w:pPr>
              <w:spacing w:after="0" w:line="240" w:lineRule="auto"/>
              <w:ind w:firstLine="0"/>
              <w:jc w:val="center"/>
            </w:pPr>
            <w:r>
              <w:rPr>
                <w:rFonts w:ascii="Times New Roman" w:hAnsi="Times New Roman" w:eastAsia="宋体"/>
                <w:b/>
                <w:color w:val="000000"/>
                <w:sz w:val="24"/>
              </w:rPr>
              <w:t>当前核验</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问题一特征</w:t>
            </w:r>
          </w:p>
        </w:tc>
        <w:tc>
          <w:tcPr>
            <w:tcW w:type="dxa" w:w="402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100个v3 NPZ；p1_summary_v3.csv</w:t>
            </w:r>
          </w:p>
        </w:tc>
        <w:tc>
          <w:tcPr>
            <w:tcW w:type="dxa" w:w="362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形状、掩码、时间边界及100条状态</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问题二预测</w:t>
            </w:r>
          </w:p>
        </w:tc>
        <w:tc>
          <w:tcPr>
            <w:tcW w:type="dxa" w:w="402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附件3_预测.csv（30行）</w:t>
            </w:r>
          </w:p>
        </w:tc>
        <w:tc>
          <w:tcPr>
            <w:tcW w:type="dxa" w:w="362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编号、极性、强度与冲突标志</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问题三解释</w:t>
            </w:r>
          </w:p>
        </w:tc>
        <w:tc>
          <w:tcPr>
            <w:tcW w:type="dxa" w:w="402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附件4_预测与解释.csv（20行）</w:t>
            </w:r>
          </w:p>
        </w:tc>
        <w:tc>
          <w:tcPr>
            <w:tcW w:type="dxa" w:w="362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564位置扫描、模态份额和文本索引</w:t>
            </w:r>
          </w:p>
        </w:tc>
      </w:tr>
      <w:tr>
        <w:tc>
          <w:tcPr>
            <w:tcW w:type="dxa" w:w="1701"/>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模型文件</w:t>
            </w:r>
          </w:p>
        </w:tc>
        <w:tc>
          <w:tcPr>
            <w:tcW w:type="dxa" w:w="4025"/>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p2三种子权重、配置与代码</w:t>
            </w:r>
          </w:p>
        </w:tc>
        <w:tc>
          <w:tcPr>
            <w:tcW w:type="dxa" w:w="3628"/>
            <w:vAlign w:val="center"/>
            <w:tcMar>
              <w:top w:w="75" w:type="dxa"/>
              <w:left w:w="85" w:type="dxa"/>
              <w:bottom w:w="75" w:type="dxa"/>
              <w:right w:w="85" w:type="dxa"/>
            </w:tcMar>
          </w:tcPr>
          <w:p>
            <w:pPr>
              <w:spacing w:after="0" w:line="240" w:lineRule="auto"/>
              <w:ind w:firstLine="0"/>
              <w:jc w:val="center"/>
            </w:pPr>
            <w:r>
              <w:rPr>
                <w:rFonts w:ascii="Times New Roman" w:hAnsi="Times New Roman" w:eastAsia="宋体"/>
                <w:b w:val="0"/>
                <w:color w:val="000000"/>
                <w:sz w:val="24"/>
              </w:rPr>
              <w:t>模型输入形状和权重加载</w:t>
            </w:r>
          </w:p>
        </w:tc>
      </w:tr>
    </w:tbl>
    <w:p>
      <w:pPr>
        <w:spacing w:after="0"/>
        <w:ind w:firstLine="0"/>
      </w:pPr>
      <w:r>
        <w:rPr>
          <w:rFonts w:ascii="Times New Roman" w:hAnsi="Times New Roman" w:eastAsia="宋体"/>
          <w:b w:val="0"/>
          <w:color w:val="000000"/>
          <w:sz w:val="24"/>
        </w:rPr>
        <w:t>后续应为附件4增设每个最大绝对影响模态的局部作用值、原词、音频起止秒数和视频帧号，并在核验脚本中逐项检查。</w:t>
      </w:r>
    </w:p>
    <w:sectPr w:rsidR="00FC693F" w:rsidRPr="0006063C" w:rsidSect="00034616">
      <w:footerReference w:type="default" r:id="rId12"/>
      <w:pgSz w:w="11906" w:h="16838"/>
      <w:pgMar w:top="1701" w:right="1276" w:bottom="992" w:left="1276" w:header="454"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复杂场景下多模态情感预测的数学建模与算法设计</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