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eastAsia="Times New Roman"/>
          <w:b/>
          <w:sz w:val="32"/>
        </w:rPr>
        <w:t>OCR Result: 685e5bafcc735b11584bf0c9_cv-15662.pdf</w:t>
      </w:r>
    </w:p>
    <w:p>
      <w:pPr>
        <w:pStyle w:val="Heading2"/>
      </w:pPr>
      <w:r>
        <w:rPr>
          <w:rFonts w:ascii="Times New Roman" w:hAnsi="Times New Roman" w:eastAsia="Times New Roman"/>
          <w:b/>
          <w:sz w:val="28"/>
        </w:rPr>
        <w:t>Page 1</w:t>
      </w:r>
    </w:p>
    <w:p>
      <w:pPr>
        <w:spacing w:after="40" w:line="240" w:lineRule="auto"/>
      </w:pPr>
      <w:r>
        <w:rPr>
          <w:rFonts w:ascii="Times New Roman" w:hAnsi="Times New Roman" w:eastAsia="Times New Roman"/>
          <w:b w:val="0"/>
          <w:sz w:val="26"/>
        </w:rPr>
        <w:t>BAN CHẤP HÀNH TRUNG ƯƠNG</w:t>
      </w:r>
    </w:p>
    <w:p>
      <w:pPr>
        <w:spacing w:after="40" w:line="240" w:lineRule="auto"/>
      </w:pPr>
      <w:r>
        <w:rPr>
          <w:rFonts w:ascii="Times New Roman" w:hAnsi="Times New Roman" w:eastAsia="Times New Roman"/>
          <w:b w:val="0"/>
          <w:sz w:val="26"/>
        </w:rPr>
        <w:t>VĂN PHÒNG</w:t>
      </w:r>
    </w:p>
    <w:p>
      <w:pPr>
        <w:spacing w:after="40" w:line="240" w:lineRule="auto"/>
      </w:pPr>
      <w:r>
        <w:rPr>
          <w:rFonts w:ascii="Times New Roman" w:hAnsi="Times New Roman" w:eastAsia="Times New Roman"/>
          <w:b w:val="0"/>
          <w:sz w:val="26"/>
        </w:rPr>
        <w:t>*</w:t>
      </w:r>
    </w:p>
    <w:p>
      <w:pPr>
        <w:spacing w:after="40" w:line="240" w:lineRule="auto"/>
      </w:pPr>
      <w:r>
        <w:rPr>
          <w:rFonts w:ascii="Times New Roman" w:hAnsi="Times New Roman" w:eastAsia="Times New Roman"/>
          <w:b w:val="0"/>
          <w:sz w:val="26"/>
        </w:rPr>
        <w:t>Số 15662-CV/VPTW</w:t>
      </w:r>
    </w:p>
    <w:p>
      <w:pPr>
        <w:spacing w:after="40" w:line="240" w:lineRule="auto"/>
      </w:pPr>
      <w:r>
        <w:rPr>
          <w:rFonts w:ascii="Times New Roman" w:hAnsi="Times New Roman" w:eastAsia="Times New Roman"/>
          <w:b w:val="0"/>
          <w:sz w:val="26"/>
        </w:rPr>
        <w:t>V/v hướng dẫn các bộ, ngành, địa phương tập trung</w:t>
      </w:r>
    </w:p>
    <w:p>
      <w:pPr>
        <w:spacing w:after="40" w:line="240" w:lineRule="auto"/>
      </w:pPr>
      <w:r>
        <w:rPr>
          <w:rFonts w:ascii="Times New Roman" w:hAnsi="Times New Roman" w:eastAsia="Times New Roman"/>
          <w:b w:val="0"/>
          <w:sz w:val="26"/>
        </w:rPr>
        <w:t>thực hiện Kế hoạch số 02-KH/BCĐTW</w:t>
      </w:r>
    </w:p>
    <w:p>
      <w:pPr>
        <w:spacing w:after="40" w:line="240" w:lineRule="auto"/>
      </w:pPr>
      <w:r>
        <w:rPr>
          <w:rFonts w:ascii="Times New Roman" w:hAnsi="Times New Roman" w:eastAsia="Times New Roman"/>
          <w:b w:val="0"/>
          <w:sz w:val="26"/>
        </w:rPr>
        <w:t>Kính gửi: - Các Đảng ủy trực thuộc Trung ương,</w:t>
      </w:r>
    </w:p>
    <w:p>
      <w:pPr>
        <w:spacing w:after="40" w:line="240" w:lineRule="auto"/>
      </w:pPr>
      <w:r>
        <w:rPr>
          <w:rFonts w:ascii="Times New Roman" w:hAnsi="Times New Roman" w:eastAsia="Times New Roman"/>
          <w:b w:val="0"/>
          <w:sz w:val="26"/>
        </w:rPr>
        <w:t>- Các ban đảng ở Trung ương,</w:t>
      </w:r>
    </w:p>
    <w:p>
      <w:pPr>
        <w:spacing w:after="40" w:line="240" w:lineRule="auto"/>
      </w:pPr>
      <w:r>
        <w:rPr>
          <w:rFonts w:ascii="Times New Roman" w:hAnsi="Times New Roman" w:eastAsia="Times New Roman"/>
          <w:b w:val="0"/>
          <w:sz w:val="26"/>
        </w:rPr>
        <w:t>- Quân ủy Trung ương,</w:t>
      </w:r>
    </w:p>
    <w:p>
      <w:pPr>
        <w:spacing w:after="40" w:line="240" w:lineRule="auto"/>
      </w:pPr>
      <w:r>
        <w:rPr>
          <w:rFonts w:ascii="Times New Roman" w:hAnsi="Times New Roman" w:eastAsia="Times New Roman"/>
          <w:b w:val="0"/>
          <w:sz w:val="26"/>
        </w:rPr>
        <w:t>- Đảng ủy Công an Trung ương,</w:t>
      </w:r>
    </w:p>
    <w:p>
      <w:pPr>
        <w:spacing w:after="40" w:line="240" w:lineRule="auto"/>
      </w:pPr>
      <w:r>
        <w:rPr>
          <w:rFonts w:ascii="Times New Roman" w:hAnsi="Times New Roman" w:eastAsia="Times New Roman"/>
          <w:b w:val="0"/>
          <w:sz w:val="26"/>
        </w:rPr>
        <w:t>- Các bộ, cơ quan ngang bộ, cơ quan thuộc Chính phủ,</w:t>
      </w:r>
    </w:p>
    <w:p>
      <w:pPr>
        <w:spacing w:after="40" w:line="240" w:lineRule="auto"/>
      </w:pPr>
      <w:r>
        <w:rPr>
          <w:rFonts w:ascii="Times New Roman" w:hAnsi="Times New Roman" w:eastAsia="Times New Roman"/>
          <w:b w:val="0"/>
          <w:sz w:val="26"/>
        </w:rPr>
        <w:t>- Văn phòng Quốc hội và các Ủy ban của Quốc hội,</w:t>
      </w:r>
    </w:p>
    <w:p>
      <w:pPr>
        <w:spacing w:after="40" w:line="240" w:lineRule="auto"/>
      </w:pPr>
      <w:r>
        <w:rPr>
          <w:rFonts w:ascii="Times New Roman" w:hAnsi="Times New Roman" w:eastAsia="Times New Roman"/>
          <w:b w:val="0"/>
          <w:sz w:val="26"/>
        </w:rPr>
        <w:t>- Mặt trận Tổ quốc và các tổ chức chính trị - xã hội,</w:t>
      </w:r>
    </w:p>
    <w:p>
      <w:pPr>
        <w:spacing w:after="40" w:line="240" w:lineRule="auto"/>
      </w:pPr>
      <w:r>
        <w:rPr>
          <w:rFonts w:ascii="Times New Roman" w:hAnsi="Times New Roman" w:eastAsia="Times New Roman"/>
          <w:b w:val="0"/>
          <w:sz w:val="26"/>
        </w:rPr>
        <w:t>- Toà án nhân dân tối cao,</w:t>
      </w:r>
    </w:p>
    <w:p>
      <w:pPr>
        <w:spacing w:after="40" w:line="240" w:lineRule="auto"/>
      </w:pPr>
      <w:r>
        <w:rPr>
          <w:rFonts w:ascii="Times New Roman" w:hAnsi="Times New Roman" w:eastAsia="Times New Roman"/>
          <w:b w:val="0"/>
          <w:sz w:val="26"/>
        </w:rPr>
        <w:t>- Viện Kiểm sát nhân dân tối cao,</w:t>
      </w:r>
    </w:p>
    <w:p>
      <w:pPr>
        <w:spacing w:after="40" w:line="240" w:lineRule="auto"/>
      </w:pPr>
      <w:r>
        <w:rPr>
          <w:rFonts w:ascii="Times New Roman" w:hAnsi="Times New Roman" w:eastAsia="Times New Roman"/>
          <w:b w:val="0"/>
          <w:sz w:val="26"/>
        </w:rPr>
        <w:t>- Các tỉnh ủy, thành ủy trực thuộc Trung ương,</w:t>
      </w:r>
    </w:p>
    <w:p>
      <w:pPr>
        <w:spacing w:after="40" w:line="240" w:lineRule="auto"/>
      </w:pPr>
      <w:r>
        <w:rPr>
          <w:rFonts w:ascii="Times New Roman" w:hAnsi="Times New Roman" w:eastAsia="Times New Roman"/>
          <w:b w:val="0"/>
          <w:sz w:val="26"/>
        </w:rPr>
        <w:t>- Ủy ban nhân dân các tỉnh, thành phố trực thuộc Trung ương,</w:t>
      </w:r>
    </w:p>
    <w:p>
      <w:pPr>
        <w:spacing w:after="40" w:line="240" w:lineRule="auto"/>
      </w:pPr>
      <w:r>
        <w:rPr>
          <w:rFonts w:ascii="Times New Roman" w:hAnsi="Times New Roman" w:eastAsia="Times New Roman"/>
          <w:b w:val="0"/>
          <w:sz w:val="26"/>
        </w:rPr>
        <w:t>Thực hiện nhiệm vụ được giao tại Mục 2 Kết luận số 170-KL/TW, ngày 24/6/2025 của Ban Bí thư về việc hướng dẫn các bộ, ngành, địa phương tập trung thực hiện Kế hoạch số 02-KH/BCĐTW, ngày 19/6/2025 của Ban Chỉ đạo Trung ương về phát triển khoa học, công nghệ, đổi mới sáng tạo và chuyển đổi số, Văn phòng Trung ương Đảng - Cơ quan Thường trực Ban Chỉ đạo trân trọng gửi tới các cơ quan, địa phương "Sổ tay hướng dẫn triển khai Kế hoạch số 02-KH/BCĐTW, ngày 19/6/2025 của Ban Chỉ đạo Trung ương về thúc đẩy chuyển đổi số liên thông, đồng bộ, nhanh, hiệu quả đáp ứng yêu cầu sắp xếp tổ chức bộ máy của hệ thống chính trị" (sau đây gọi tắt là Sổ tay hướng dẫn) để kịp thời triển khai thực hiện tại cơ quan, địa phương mình (xin gửi QR code tài liệu kèm theo); đồng thời đề nghị triển khai một số nội dung sau:</w:t>
      </w:r>
    </w:p>
    <w:p>
      <w:pPr>
        <w:spacing w:after="40" w:line="240" w:lineRule="auto"/>
      </w:pPr>
      <w:r>
        <w:rPr>
          <w:rFonts w:ascii="Times New Roman" w:hAnsi="Times New Roman" w:eastAsia="Times New Roman"/>
          <w:b w:val="0"/>
          <w:sz w:val="26"/>
        </w:rPr>
        <w:t>1. Đối với các Đảng ủy trực thuộc Trung ương, các bộ, cơ quan: Cung cấp thông tin liên hệ của các đồng chí phụ trách về chuyển đổi số, bao gồm: 1 đồng chí đại diện lãnh đạo cơ quan và 1 đồng chí đại diện lãnh đạo cấp Vụ, Cục (thông tin gồm: Họ và tên, chức vụ, đơn vị công tác, số điện thoại di động, địa chỉ thư điện tử).</w:t>
      </w:r>
    </w:p>
    <w:p>
      <w:pPr>
        <w:spacing w:after="40" w:line="240" w:lineRule="auto"/>
      </w:pPr>
      <w:r>
        <w:rPr>
          <w:rFonts w:ascii="Times New Roman" w:hAnsi="Times New Roman" w:eastAsia="Times New Roman"/>
          <w:b w:val="0"/>
          <w:sz w:val="26"/>
        </w:rPr>
        <w:t>2. Đối với các tỉnh, thành phố trực thuộc Trung ương:</w:t>
      </w:r>
    </w:p>
    <w:p>
      <w:pPr>
        <w:spacing w:after="40" w:line="240" w:lineRule="auto"/>
      </w:pPr>
      <w:r>
        <w:rPr>
          <w:rFonts w:ascii="Times New Roman" w:hAnsi="Times New Roman" w:eastAsia="Times New Roman"/>
          <w:b w:val="0"/>
          <w:sz w:val="26"/>
        </w:rPr>
        <w:t>a) Rà soát, cập nhật và ban hành trước ngày 01/7/2025 các quy định để thống nhất quản lý, vận hành, khai thác, sử dụng các cơ sở dữ liệu, hệ thống thông tin và các quy định khác có liên quan của tỉnh, thành phố theo tổ chức, bộ máy mới, bảo đảm thống nhất, liên thông, đồng bộ như: Hệ thống thông tin giải quyết thủ tục hành chính; Hệ thống truyền hình hội nghị; Hệ thống quản lý văn bản và hồ sơ công việc; Thư điện tử; Quy chế hoạt động của Trung tâm phục vụ hành chính công; Các biểu mẫu văn bản hành chính; Công bố, công khai thủ tục hành chính; Quy trình nội bộ...</w:t>
      </w:r>
    </w:p>
    <w:p>
      <w:pPr>
        <w:spacing w:after="40" w:line="240" w:lineRule="auto"/>
      </w:pPr>
      <w:r>
        <w:rPr>
          <w:rFonts w:ascii="Times New Roman" w:hAnsi="Times New Roman" w:eastAsia="Times New Roman"/>
          <w:b w:val="0"/>
          <w:sz w:val="26"/>
        </w:rPr>
        <w:t>1 Sổ tay hướng dẫn được đăng tải công khai trên Cổng Thông tin điện tử Đảng Cộng sản Việt Nam.</w:t>
      </w:r>
    </w:p>
    <w:p>
      <w:pPr>
        <w:pStyle w:val="Heading2"/>
      </w:pPr>
      <w:r>
        <w:rPr>
          <w:rFonts w:ascii="Times New Roman" w:hAnsi="Times New Roman" w:eastAsia="Times New Roman"/>
          <w:b/>
          <w:sz w:val="28"/>
        </w:rPr>
        <w:t>Page 2</w:t>
      </w:r>
    </w:p>
    <w:p>
      <w:pPr>
        <w:spacing w:after="40" w:line="240" w:lineRule="auto"/>
      </w:pPr>
      <w:r>
        <w:rPr>
          <w:rFonts w:ascii="Times New Roman" w:hAnsi="Times New Roman" w:eastAsia="Times New Roman"/>
          <w:b w:val="0"/>
          <w:sz w:val="26"/>
        </w:rPr>
        <w:t>4 CV15662 DOC.</w:t>
      </w:r>
    </w:p>
    <w:p>
      <w:pPr>
        <w:spacing w:after="40" w:line="240" w:lineRule="auto"/>
      </w:pPr>
      <w:r>
        <w:rPr>
          <w:rFonts w:ascii="Times New Roman" w:hAnsi="Times New Roman" w:eastAsia="Times New Roman"/>
          <w:b w:val="0"/>
          <w:sz w:val="26"/>
        </w:rPr>
        <w:t>2</w:t>
      </w:r>
    </w:p>
    <w:p>
      <w:pPr>
        <w:spacing w:after="40" w:line="240" w:lineRule="auto"/>
      </w:pPr>
      <w:r>
        <w:rPr>
          <w:rFonts w:ascii="Times New Roman" w:hAnsi="Times New Roman" w:eastAsia="Times New Roman"/>
          <w:b w:val="0"/>
          <w:sz w:val="26"/>
        </w:rPr>
        <w:t>b) Khẩn trương thành lập Tổ Công tác của tỉnh, thành phố theo hướng dẫn tại Chương VIII Sổ tay hướng dẫn để triển khai thực hiện các nhiệm vụ theo Kế hoạch số 02-KH/BCTW, trong đó Tổ Công tác cần được chia thành các nhóm phụ trách về: (1) Thể chế, pháp lý. (2) Hạ tầng kỹ thuật và an toàn thông tin. (3) Nền tảng, ứng dụng và dữ liệu. (4) Nguồn nhân lực. (5) Truyền thông.</w:t>
      </w:r>
    </w:p>
    <w:p>
      <w:pPr>
        <w:spacing w:after="40" w:line="240" w:lineRule="auto"/>
      </w:pPr>
      <w:r>
        <w:rPr>
          <w:rFonts w:ascii="Times New Roman" w:hAnsi="Times New Roman" w:eastAsia="Times New Roman"/>
          <w:b w:val="0"/>
          <w:sz w:val="26"/>
        </w:rPr>
        <w:t>c) Tăng cường cán bộ, công chức, viên chức làm việc tại cơ quan cấp tỉnh xuống cấp xã, phường để hỗ trợ việc xây dựng, hoàn thiện thể chế, pháp lý và giải quyết thủ tục hành chính tại cơ sở.</w:t>
      </w:r>
    </w:p>
    <w:p>
      <w:pPr>
        <w:spacing w:after="40" w:line="240" w:lineRule="auto"/>
      </w:pPr>
      <w:r>
        <w:rPr>
          <w:rFonts w:ascii="Times New Roman" w:hAnsi="Times New Roman" w:eastAsia="Times New Roman"/>
          <w:b w:val="0"/>
          <w:sz w:val="26"/>
        </w:rPr>
        <w:t>d) Rà soát, cập nhật, bổ sung thông tin liên hệ của các đồng chí phụ trách về chuyển đổi số của tỉnh, thành phố, bao gồm: 1 đồng chí đại diện lãnh đạo tỉnh, thành phố; 1 đồng chí đại diện lãnh đạo cấp sở có liên quan và các đồng chí là Bí thư, Chủ tịch của xã, phường sau sáp nhập (nếu có thay đổi).</w:t>
      </w:r>
    </w:p>
    <w:p>
      <w:pPr>
        <w:spacing w:after="40" w:line="240" w:lineRule="auto"/>
      </w:pPr>
      <w:r>
        <w:rPr>
          <w:rFonts w:ascii="Times New Roman" w:hAnsi="Times New Roman" w:eastAsia="Times New Roman"/>
          <w:b w:val="0"/>
          <w:sz w:val="26"/>
        </w:rPr>
        <w:t>3. Đề nghị các đảng ủy, bộ, cơ quan, địa phương gửi danh sách thông tin liên hệ nêu trên về Văn phòng Trung ương Đảng - Cơ quan Thường trực Ban Chỉ đạo trước ngày 27/6/2025.</w:t>
      </w:r>
    </w:p>
    <w:p>
      <w:pPr>
        <w:spacing w:after="40" w:line="240" w:lineRule="auto"/>
      </w:pPr>
      <w:r>
        <w:rPr>
          <w:rFonts w:ascii="Times New Roman" w:hAnsi="Times New Roman" w:eastAsia="Times New Roman"/>
          <w:b w:val="0"/>
          <w:sz w:val="26"/>
        </w:rPr>
        <w:t>Đầu mối liên hệ: Đồng chí Nguyễn Hữu Hải, Cục Chuyển đổi số - Cơ yếu, Văn phòng Trung ương Đảng, điện thoại: 0965.949.689, email: nguyenhuuhai@vptw.dcs.vn.</w:t>
      </w:r>
    </w:p>
    <w:p>
      <w:pPr>
        <w:spacing w:after="40" w:line="240" w:lineRule="auto"/>
      </w:pPr>
      <w:r>
        <w:rPr>
          <w:rFonts w:ascii="Times New Roman" w:hAnsi="Times New Roman" w:eastAsia="Times New Roman"/>
          <w:b w:val="0"/>
          <w:sz w:val="26"/>
        </w:rPr>
        <w:t>Nơi nhận:</w:t>
      </w:r>
    </w:p>
    <w:p>
      <w:pPr>
        <w:spacing w:after="40" w:line="240" w:lineRule="auto"/>
      </w:pPr>
      <w:r>
        <w:rPr>
          <w:rFonts w:ascii="Times New Roman" w:hAnsi="Times New Roman" w:eastAsia="Times New Roman"/>
          <w:b w:val="0"/>
          <w:sz w:val="26"/>
        </w:rPr>
        <w:t>K/T CHÁNH VĂN PHÒNG</w:t>
      </w:r>
    </w:p>
    <w:p>
      <w:pPr>
        <w:spacing w:after="40" w:line="240" w:lineRule="auto"/>
      </w:pPr>
      <w:r>
        <w:rPr>
          <w:rFonts w:ascii="Times New Roman" w:hAnsi="Times New Roman" w:eastAsia="Times New Roman"/>
          <w:b w:val="0"/>
          <w:sz w:val="26"/>
        </w:rPr>
        <w:t>PHÓ CHÁNH VĂN PHÒNG</w:t>
      </w:r>
    </w:p>
    <w:p>
      <w:pPr>
        <w:spacing w:after="40" w:line="240" w:lineRule="auto"/>
      </w:pPr>
      <w:r>
        <w:rPr>
          <w:rFonts w:ascii="Times New Roman" w:hAnsi="Times New Roman" w:eastAsia="Times New Roman"/>
          <w:b w:val="0"/>
          <w:sz w:val="26"/>
        </w:rPr>
        <w:t>Chỉ đạo trước ngày 27/6/2025.</w:t>
      </w:r>
    </w:p>
    <w:p>
      <w:pPr>
        <w:spacing w:after="40" w:line="240" w:lineRule="auto"/>
      </w:pPr>
      <w:r>
        <w:rPr>
          <w:rFonts w:ascii="Times New Roman" w:hAnsi="Times New Roman" w:eastAsia="Times New Roman"/>
          <w:b w:val="0"/>
          <w:sz w:val="26"/>
        </w:rPr>
        <w:t>- Như trên,</w:t>
      </w:r>
    </w:p>
    <w:p>
      <w:pPr>
        <w:spacing w:after="40" w:line="240" w:lineRule="auto"/>
      </w:pPr>
      <w:r>
        <w:rPr>
          <w:rFonts w:ascii="Times New Roman" w:hAnsi="Times New Roman" w:eastAsia="Times New Roman"/>
          <w:b w:val="0"/>
          <w:sz w:val="26"/>
        </w:rPr>
        <w:t>- Đồng chí Tổng Bí thư,</w:t>
      </w:r>
    </w:p>
    <w:p>
      <w:pPr>
        <w:spacing w:after="40" w:line="240" w:lineRule="auto"/>
      </w:pPr>
      <w:r>
        <w:rPr>
          <w:rFonts w:ascii="Times New Roman" w:hAnsi="Times New Roman" w:eastAsia="Times New Roman"/>
          <w:b w:val="0"/>
          <w:sz w:val="26"/>
        </w:rPr>
        <w:t>Trưởng Ban Chỉ đạo Trung ương (để báo cáo),</w:t>
      </w:r>
    </w:p>
    <w:p>
      <w:pPr>
        <w:spacing w:after="40" w:line="240" w:lineRule="auto"/>
      </w:pPr>
      <w:r>
        <w:rPr>
          <w:rFonts w:ascii="Times New Roman" w:hAnsi="Times New Roman" w:eastAsia="Times New Roman"/>
          <w:b w:val="0"/>
          <w:sz w:val="26"/>
        </w:rPr>
        <w:t>- Đồng chí Trần Cẩm Tú, Uỷ viên Bộ Chính trị,</w:t>
      </w:r>
    </w:p>
    <w:p>
      <w:pPr>
        <w:spacing w:after="40" w:line="240" w:lineRule="auto"/>
      </w:pPr>
      <w:r>
        <w:rPr>
          <w:rFonts w:ascii="Times New Roman" w:hAnsi="Times New Roman" w:eastAsia="Times New Roman"/>
          <w:b w:val="0"/>
          <w:sz w:val="26"/>
        </w:rPr>
        <w:t>Thường trực Ban Bí thư, Phó Trưởng Ban Chỉ</w:t>
      </w:r>
    </w:p>
    <w:p>
      <w:pPr>
        <w:spacing w:after="40" w:line="240" w:lineRule="auto"/>
      </w:pPr>
      <w:r>
        <w:rPr>
          <w:rFonts w:ascii="Times New Roman" w:hAnsi="Times New Roman" w:eastAsia="Times New Roman"/>
          <w:b w:val="0"/>
          <w:sz w:val="26"/>
        </w:rPr>
        <w:t>đạo Trung ương (để báo cáo),</w:t>
      </w:r>
    </w:p>
    <w:p>
      <w:pPr>
        <w:spacing w:after="40" w:line="240" w:lineRule="auto"/>
      </w:pPr>
      <w:r>
        <w:rPr>
          <w:rFonts w:ascii="Times New Roman" w:hAnsi="Times New Roman" w:eastAsia="Times New Roman"/>
          <w:b w:val="0"/>
          <w:sz w:val="26"/>
        </w:rPr>
        <w:t>- Đồng chí Nguyễn Duy Ngọc,</w:t>
      </w:r>
    </w:p>
    <w:p>
      <w:pPr>
        <w:spacing w:after="40" w:line="240" w:lineRule="auto"/>
      </w:pPr>
      <w:r>
        <w:rPr>
          <w:rFonts w:ascii="Times New Roman" w:hAnsi="Times New Roman" w:eastAsia="Times New Roman"/>
          <w:b w:val="0"/>
          <w:sz w:val="26"/>
        </w:rPr>
        <w:t>Uỷ viên Bộ Chính trị, Bí thư Trung ương Đảng,</w:t>
      </w:r>
    </w:p>
    <w:p>
      <w:pPr>
        <w:spacing w:after="40" w:line="240" w:lineRule="auto"/>
      </w:pPr>
      <w:r>
        <w:rPr>
          <w:rFonts w:ascii="Times New Roman" w:hAnsi="Times New Roman" w:eastAsia="Times New Roman"/>
          <w:b w:val="0"/>
          <w:sz w:val="26"/>
        </w:rPr>
        <w:t>Chủ nhiệm Uỷ ban Kiểm tra Trung ương,</w:t>
      </w:r>
    </w:p>
    <w:p>
      <w:pPr>
        <w:spacing w:after="40" w:line="240" w:lineRule="auto"/>
      </w:pPr>
      <w:r>
        <w:rPr>
          <w:rFonts w:ascii="Times New Roman" w:hAnsi="Times New Roman" w:eastAsia="Times New Roman"/>
          <w:b w:val="0"/>
          <w:sz w:val="26"/>
        </w:rPr>
        <w:t>- Đồng chí Lê Hoài Trung, Bí thư Trung ương Đảng,</w:t>
      </w:r>
    </w:p>
    <w:p>
      <w:pPr>
        <w:spacing w:after="40" w:line="240" w:lineRule="auto"/>
      </w:pPr>
      <w:r>
        <w:rPr>
          <w:rFonts w:ascii="Times New Roman" w:hAnsi="Times New Roman" w:eastAsia="Times New Roman"/>
          <w:b w:val="0"/>
          <w:sz w:val="26"/>
        </w:rPr>
        <w:t>Chánh Văn phòng Trung ương Đảng,</w:t>
      </w:r>
    </w:p>
    <w:p>
      <w:pPr>
        <w:spacing w:after="40" w:line="240" w:lineRule="auto"/>
      </w:pPr>
      <w:r>
        <w:rPr>
          <w:rFonts w:ascii="Times New Roman" w:hAnsi="Times New Roman" w:eastAsia="Times New Roman"/>
          <w:b w:val="0"/>
          <w:sz w:val="26"/>
        </w:rPr>
        <w:t>Phó Trưởng Ban Thường trực (để báo cáo)</w:t>
      </w:r>
    </w:p>
    <w:p>
      <w:pPr>
        <w:spacing w:after="40" w:line="240" w:lineRule="auto"/>
      </w:pPr>
      <w:r>
        <w:rPr>
          <w:rFonts w:ascii="Times New Roman" w:hAnsi="Times New Roman" w:eastAsia="Times New Roman"/>
          <w:b w:val="0"/>
          <w:sz w:val="26"/>
        </w:rPr>
        <w:t>- Cục Chuyển đổi số - Cơ yếu,</w:t>
      </w:r>
    </w:p>
    <w:p>
      <w:pPr>
        <w:spacing w:after="40" w:line="240" w:lineRule="auto"/>
      </w:pPr>
      <w:r>
        <w:rPr>
          <w:rFonts w:ascii="Times New Roman" w:hAnsi="Times New Roman" w:eastAsia="Times New Roman"/>
          <w:b w:val="0"/>
          <w:sz w:val="26"/>
        </w:rPr>
        <w:t>- Lưu Văn phòng Trung ương Đảng.</w:t>
      </w:r>
    </w:p>
    <w:p>
      <w:pPr>
        <w:spacing w:after="40" w:line="240" w:lineRule="auto"/>
      </w:pPr>
      <w:r>
        <w:rPr>
          <w:rFonts w:ascii="Times New Roman" w:hAnsi="Times New Roman" w:eastAsia="Times New Roman"/>
          <w:b w:val="0"/>
          <w:sz w:val="26"/>
        </w:rPr>
        <w:t>Quét QR code để tải Sổ tay hướng dẫn</w:t>
      </w:r>
    </w:p>
    <w:p>
      <w:pPr>
        <w:spacing w:after="40" w:line="240" w:lineRule="auto"/>
      </w:pPr>
      <w:r>
        <w:rPr>
          <w:rFonts w:ascii="Times New Roman" w:hAnsi="Times New Roman" w:eastAsia="Times New Roman"/>
          <w:b w:val="0"/>
          <w:sz w:val="26"/>
        </w:rPr>
        <w:t>-</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