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逐类阈值；评估范围为**声学相关抱怨正例**（非严格耳机音质，口径见附录 C 第 8–9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