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452–2,941）**根本不会进入管线。**含义（口径必须成对，不得混用）**：语料内耳机音质差评总量约 **2,461–2,826 条**，现有标签集约占 **52.0%–45.3%**；故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