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 xml:space="preserve">AI+跨境黑客松巅峰赛 · </w:t>
      </w:r>
      <w:bookmarkStart w:id="0" w:name="_GoBack"/>
      <w:r>
        <w:rPr>
          <w:rFonts w:hint="eastAsia" w:ascii="Times New Roman" w:hAnsi="Times New Roman" w:eastAsia="黑体"/>
          <w:b/>
          <w:sz w:val="40"/>
          <w:lang w:val="en-US" w:eastAsia="zh-CN"/>
        </w:rPr>
        <w:t>决赛入围定稿</w:t>
      </w:r>
      <w:bookmarkEnd w:id="0"/>
      <w:r>
        <w:rPr>
          <w:rFonts w:hint="eastAsia" w:ascii="Times New Roman" w:hAnsi="Times New Roman" w:eastAsia="黑体"/>
          <w:b/>
          <w:sz w:val="40"/>
        </w:rPr>
        <w:t>提交模板</w:t>
      </w:r>
    </w:p>
    <w:p w14:paraId="33605BE5">
      <w:pPr>
        <w:jc w:val="center"/>
      </w:pPr>
      <w:r>
        <w:rPr>
          <w:rFonts w:hint="eastAsia" w:ascii="Times New Roman" w:hAnsi="Times New Roman" w:eastAsia="宋体"/>
          <w:b w:val="0"/>
          <w:color w:val="808080"/>
          <w:sz w:val="20"/>
        </w:rPr>
        <w:t xml:space="preserve">（天池渠道 · 团队一人提交即可 · </w:t>
      </w:r>
      <w:r>
        <w:rPr>
          <w:rFonts w:hint="eastAsia" w:ascii="Times New Roman" w:hAnsi="Times New Roman" w:eastAsia="宋体"/>
          <w:b w:val="0"/>
          <w:color w:val="808080"/>
          <w:sz w:val="20"/>
          <w:lang w:val="en-US" w:eastAsia="zh-CN"/>
        </w:rPr>
        <w:t>决赛入围定稿</w:t>
      </w:r>
      <w:r>
        <w:rPr>
          <w:rFonts w:hint="eastAsia" w:ascii="Times New Roman" w:hAnsi="Times New Roman" w:eastAsia="宋体"/>
          <w:b w:val="0"/>
          <w:color w:val="808080"/>
          <w:sz w:val="20"/>
        </w:rPr>
        <w:t>提交截止：</w:t>
      </w:r>
      <w:r>
        <w:rPr>
          <w:rFonts w:hint="eastAsia" w:ascii="Times New Roman" w:hAnsi="Times New Roman" w:eastAsia="宋体"/>
          <w:b w:val="0"/>
          <w:color w:val="808080"/>
          <w:sz w:val="20"/>
          <w:lang w:val="en-US" w:eastAsia="zh-CN"/>
        </w:rPr>
        <w:t>10</w:t>
      </w:r>
      <w:r>
        <w:rPr>
          <w:rFonts w:hint="eastAsia" w:ascii="Times New Roman" w:hAnsi="Times New Roman" w:eastAsia="宋体"/>
          <w:b w:val="0"/>
          <w:color w:val="808080"/>
          <w:sz w:val="20"/>
        </w:rPr>
        <w:t>月</w:t>
      </w:r>
      <w:r>
        <w:rPr>
          <w:rFonts w:hint="eastAsia" w:ascii="Times New Roman" w:hAnsi="Times New Roman" w:eastAsia="宋体"/>
          <w:b w:val="0"/>
          <w:color w:val="808080"/>
          <w:sz w:val="20"/>
          <w:lang w:val="en-US" w:eastAsia="zh-CN"/>
        </w:rPr>
        <w:t>8</w:t>
      </w:r>
      <w:r>
        <w:rPr>
          <w:rFonts w:hint="eastAsia" w:ascii="Times New Roman" w:hAnsi="Times New Roman" w:eastAsia="宋体"/>
          <w:b w:val="0"/>
          <w:color w:val="808080"/>
          <w:sz w:val="20"/>
        </w:rPr>
        <w:t>日）</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参赛场景：AI市场洞察</w:t>
      </w:r>
    </w:p>
    <w:p>
      <w:r>
        <w:t>方案名称：SoundInsight（蓝牙耳机音质差评智能归因系统）</w:t>
      </w:r>
    </w:p>
    <w:p>
      <w:r>
        <w:t>一句话定义：为跨境电商耳机卖家提供音质差评自动识别与五类问题归因的一站式洞察工具，把人工数小时的差评梳理压缩到分钟级；产品推理 100% 本地，卖家数据不出境。</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一句话定义（为谁解决什么问题，核心价值）：</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490E4D27">
      <w:r>
        <w:rPr>
          <w:rFonts w:hint="eastAsia"/>
        </w:rPr>
        <w:t>（谁会使用你的方案？他们是谁？当前面临什么业务痛点？这些问题有多严重、多普遍？）</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242F9C9F">
      <w:r>
        <w:rPr>
          <w:rFonts w:hint="eastAsia"/>
        </w:rPr>
        <w:t>（方案在什么业务场景下使用？用户从接触到使用的完整流程是怎样的？核心使用链路是什么？）</w:t>
      </w:r>
    </w:p>
    <w:p w14:paraId="50FB5D11"/>
    <w:p w14:paraId="0CBC1C8F">
      <w:r>
        <w:rPr>
          <w:rFonts w:hint="eastAsia"/>
        </w:rPr>
        <w:t>3.3 商业价值与预期效果</w:t>
      </w:r>
    </w:p>
    <w:p>
      <w:r>
        <w:t>| 指标 | 人工翻评 | SoundInsight | 说明 |</w:t>
      </w:r>
    </w:p>
    <w:p>
      <w:r>
        <w:t>|---|---|---|---|</w:t>
      </w:r>
    </w:p>
    <w:p>
      <w:r>
        <w:t>| 处理 1,000 条评论耗时 | 8 小时（假设口径） | 约 1.8 秒（本地 GPU 实测 1.763 s／1000 条；CPU 28.4 秒） | &gt;99.9% |</w:t>
      </w:r>
    </w:p>
    <w:p>
      <w:r>
        <w:t>| 人力成本（按 30 元／小时，假设口径） | 240 元（假设口径） | 0 元（本地推理，无 API 费用） | 100% |</w:t>
      </w:r>
    </w:p>
    <w:p>
      <w:r>
        <w:t>| 音质差评识别 | 依赖经验、易遗漏 | F1@调优 = 0.7220[v2]；高召回档 F1@0.5 = 0.7206[v2] | 可量化、可复算 |</w:t>
      </w:r>
    </w:p>
    <w:p>
      <w:r>
        <w:t>| 问题归因 | 无法系统分类 | 五类自动归因，宏 F1 = 0.8273[v2]（逐类阈值） | 从无到有 |</w:t>
      </w:r>
    </w:p>
    <w:p>
      <w:r>
        <w:t>| 结论可执行性 | 人工经验判断 | 每条结论带置信度档位与建议动作（高／中／低三档） | 可直接进入整改评审 |</w:t>
      </w:r>
    </w:p>
    <w:p>
      <w:r>
        <w:t>注：性能指标在 v2 留出集（val_v3_test，n=10,000、正例 128）上测得，与 v1 复赛数字（val_v2）样本集不同、不可直比；v1 值见附录 C。</w:t>
      </w:r>
    </w:p>
    <w:p w14:paraId="301E6975">
      <w:r>
        <w:rPr>
          <w:rFonts w:hint="eastAsia"/>
        </w:rPr>
        <w:t>（方案能给用户带来什么价值？如降本增效、营收增长、体验提升等，尽量用可量化指标描述：如"节省时间50%""人力成本降低40%"等）</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58E1B9CA">
      <w:r>
        <w:rPr>
          <w:rFonts w:hint="eastAsia"/>
        </w:rPr>
        <w:t>（目标市场规模与增长趋势如何？方案的商业模式是什么？如何推广落地？是否具备规模化复制的潜力？）</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2BBD98D1">
      <w:r>
        <w:rPr>
          <w:rFonts w:hint="eastAsia" w:ascii="Times New Roman" w:hAnsi="Times New Roman" w:eastAsia="宋体"/>
          <w:b w:val="0"/>
          <w:sz w:val="22"/>
        </w:rPr>
        <w:t>（用3-5句话介绍产品是什么、解决了什么业务问题、目标用户是谁）</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FF5CECE">
      <w:r>
        <w:rPr>
          <w:rFonts w:ascii="Times New Roman" w:hAnsi="Times New Roman" w:eastAsia="宋体"/>
          <w:b w:val="0"/>
          <w:sz w:val="22"/>
        </w:rPr>
        <w:t xml:space="preserve">1. </w:t>
      </w:r>
    </w:p>
    <w:p w14:paraId="1B073C93">
      <w:r>
        <w:rPr>
          <w:rFonts w:ascii="Times New Roman" w:hAnsi="Times New Roman" w:eastAsia="宋体"/>
          <w:b w:val="0"/>
          <w:sz w:val="22"/>
        </w:rPr>
        <w:t xml:space="preserve">2. </w:t>
      </w:r>
    </w:p>
    <w:p w14:paraId="4B819957">
      <w:r>
        <w:rPr>
          <w:rFonts w:ascii="Times New Roman" w:hAnsi="Times New Roman" w:eastAsia="宋体"/>
          <w:b w:val="0"/>
          <w:sz w:val="22"/>
        </w:rPr>
        <w:t xml:space="preserve">3. </w:t>
      </w:r>
    </w:p>
    <w:p w14:paraId="036FE132">
      <w:r>
        <w:rPr>
          <w:rFonts w:ascii="Times New Roman" w:hAnsi="Times New Roman" w:eastAsia="宋体"/>
          <w:b w:val="0"/>
          <w:sz w:val="22"/>
        </w:rPr>
        <w:t xml:space="preserve">4. </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api_server:app（GET /health、POST /predict）。</w:t>
      </w:r>
    </w:p>
    <w:p>
      <w:r>
        <w:t>在线 Demo：ModelScope 创空间 https://modelscope.cn/studios/DaiYanQBZ95Doll/SoundInsight（应用直链 https://daiyanqbz95doll-soundinsight.ms.show）。</w:t>
      </w:r>
    </w:p>
    <w:p>
      <w:r>
        <w:t>截图：单条判定页、批量分析页、Agent 报告页（各 1 张，见附件其他材料）。</w:t>
      </w:r>
    </w:p>
    <w:p w14:paraId="566B09F2">
      <w:r>
        <w:rPr>
          <w:rFonts w:hint="eastAsia" w:ascii="Times New Roman" w:hAnsi="Times New Roman" w:eastAsia="宋体"/>
          <w:b w:val="0"/>
          <w:sz w:val="22"/>
        </w:rPr>
        <w:t>（如何安装、运行、操作，可配截图）</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00AB8B17">
      <w:r>
        <w:rPr>
          <w:rFonts w:hint="eastAsia" w:ascii="Times New Roman" w:hAnsi="Times New Roman" w:eastAsia="宋体"/>
          <w:b w:val="0"/>
          <w:sz w:val="22"/>
        </w:rPr>
        <w:t>（插入架构图/流程图，或文字描述系统模块组成）</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数字审计（186 项检查／0 FAIL）、scan_repo_hygiene.py 仓库卫生扫描（密钥 0）、test_audit_checks.py 负向自测（15 项）。</w:t>
      </w:r>
    </w:p>
    <w:p w14:paraId="46B99393">
      <w:r>
        <w:rPr>
          <w:rFonts w:hint="eastAsia" w:ascii="Times New Roman" w:hAnsi="Times New Roman" w:eastAsia="宋体"/>
          <w:b w:val="0"/>
          <w:sz w:val="22"/>
        </w:rPr>
        <w:t>（前端技术栈 / 后端技术栈 / 数据库 / 向量库 / Agent框架或工作流 / 数据处理方式等）</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p>
      <w:r>
        <w:t>| 项目 | 结果 | 说明 |</w:t>
      </w:r>
    </w:p>
    <w:p>
      <w:r>
        <w:t>|---|---|---|</w:t>
      </w:r>
    </w:p>
    <w:p>
      <w:r>
        <w:t>| 二分类主指标 | F1@调优(0.6) = 0.7220；PR-AUC = 0.7811 | 通过采纳闸门第 (1) 条（≥0.72 或 ≥0.75） |</w:t>
      </w:r>
    </w:p>
    <w:p>
      <w:r>
        <w:t>| 高召回档 | F1@0.5 = 0.7206 | 供不同业务取舍 |</w:t>
      </w:r>
    </w:p>
    <w:p>
      <w:r>
        <w:t>| 五类归因 | 宏 F1 = 0.8273；高音类 F1 = 0.5333 | 逐类阈值；评估范围为音质差评正例 |</w:t>
      </w:r>
    </w:p>
    <w:p>
      <w:r>
        <w:t>| 概率校准 | 决策区间（≥0.9）偏差 −0.172 → −0.060；抗稀释 ECE 0.222 → 0.117 | 温度缩放，只在调参划分上拟合 |</w:t>
      </w:r>
    </w:p>
    <w:p>
      <w:r>
        <w:t>| 交叉验证（5 折） | **无偏口径（固定阈值、不在折内做任何选择）0.6584 ± 0.0378[v2]（波动 5.7%）**；对照口径（折内选阈值）0.7086 ± 0.0304[v2]（4.3%） | v1 记录的 3.9%`[v1]` 属**折内选阈值**口径（乐观且压低方差）；无偏口径暴露了阈值迁移带来的跨折波动——产品含义：阈值应随数据分布定期重标 |</w:t>
      </w:r>
    </w:p>
    <w:p>
      <w:r>
        <w:t>| 鲁棒性 | 仅保留已验证购买：F1@调优 0.6871 → 0.7034（v1 模型）；同用户去重后差评率 1.28% → 1.28% | 详见附录 E |</w:t>
      </w:r>
    </w:p>
    <w:p>
      <w:r>
        <w:t>| 长文本 | &gt;128 token 桶召回 51.2%（截断）→ 82.9%（切窗），整体 F1 降至 0.60；约束式分档阈值下达 68.3% | 未达 70% 验收线，已如实记录 |</w:t>
      </w:r>
    </w:p>
    <w:p>
      <w:r>
        <w:t>| 型号级 | 711 个型号达 ≥10 条门槛；Top-20 差评率 14.3%–30.0%（全局 1.28%） | v2 新增能力 |</w:t>
      </w:r>
    </w:p>
    <w:p>
      <w:r>
        <w:t>| 星级分层 | 差评率 1★ 5.43%／2★ 7.97%／3★ 6.60%／4★ 0.13%／5★ 0.02% | 音质差评密度在 2★ 最高 |</w:t>
      </w:r>
    </w:p>
    <w:p>
      <w:r>
        <w:t>已完成工程能力：一键安装脚本、模型卡（v2）、权重托管、在线创空间自动验收、HTTP API、审计工具链（186 项检查／0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59D2424C">
      <w:r>
        <w:rPr>
          <w:rFonts w:hint="eastAsia" w:ascii="Times New Roman" w:hAnsi="Times New Roman" w:eastAsia="宋体"/>
          <w:b w:val="0"/>
          <w:sz w:val="22"/>
        </w:rPr>
        <w:t>（简述开发过程、目前已完成的功能、遇到的挑战及解决方案、后续迭代计划）</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43F9B125">
      <w:r>
        <w:rPr>
          <w:rFonts w:hint="eastAsia" w:ascii="Times New Roman" w:hAnsi="Times New Roman" w:eastAsia="宋体"/>
          <w:b w:val="0"/>
          <w:sz w:val="22"/>
        </w:rPr>
        <w:t>（请将各链接粘贴到对应行）💡 建议：在 Word 中将链接设置为超链接（选中链接→按 Ctrl+K），评委点击即可直接打开查看。</w:t>
      </w: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t>附录 A　数据许可与合规披露</w:t>
      </w:r>
    </w:p>
    <w:p>
      <w: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0，属零触发）；该类关键词漏检率 62.6%，仍为最弱类别。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6）语言覆盖：仅英文；非英文评论被显式拒绝并计数。</w:t>
      </w:r>
    </w:p>
    <w:p>
      <w:r>
        <w:t>7）跨品类泛化：尚无实证（迁移成本可估算，见附录 F，但未做真实跨品类实验）。</w:t>
      </w:r>
    </w:p>
    <w:p/>
    <w:p>
      <w:r>
        <w:t>附录 C　已知表述勘误与口径演进</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2）非英文评论行为：v1 文档第 9.1 节写会被静默判为正常属过时陈述；代码行为是显式拒绝并计数（与该文档 4.2 节一致）。不影响任何指标。</w:t>
      </w:r>
    </w:p>
    <w:p>
      <w:r>
        <w:t>3）阈值选择偏差（v1 从未披露，本轮首次披露）：v1 的阈值在同一验证集上选取并报数，故 F1@调优 0.6871[v1] 与 CV 0.6234±0.0240[v1]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数字无影响：0.6871／0.6241 在其当时一致的划分上仍然有效，只是无法由当前文件复现。</w:t>
      </w:r>
    </w:p>
    <w:p>
      <w:r>
        <w:t>5）正例口径演进：1,257[v1]（冻结）→ 1,288（高音补捞）→ 1,280（中置信剔除，当前）。三个值是同一链条的不同阶段，引用须写明阶段。</w:t>
      </w:r>
    </w:p>
    <w:p/>
    <w:p>
      <w:r>
        <w:t>附录 D　置信度档位与建议动作（对外结论统一口径）</w:t>
      </w:r>
    </w:p>
    <w:p>
      <w:r>
        <w:t>| 档位 | 概率区间 | 含义 | 建议动作 |</w:t>
      </w:r>
    </w:p>
    <w:p>
      <w:r>
        <w:t>|---|---|---|---|</w:t>
      </w:r>
    </w:p>
    <w:p>
      <w:r>
        <w:t>| 高 | ≥ 0.9744（调优档；校准前仅供排序） | 高置信音质差评 | 直接进入整改／研发评审 |</w:t>
      </w:r>
    </w:p>
    <w:p>
      <w:r>
        <w:t>| 中 | 0.5 – 0.9744 | 疑似负面，证据不足 | 先做小规模人工抽查 |</w:t>
      </w:r>
    </w:p>
    <w:p>
      <w:r>
        <w:t>| 低 | &lt; 0.5 | 判为正常 | 仅计入趋势观察，不进入问题分布 |</w:t>
      </w:r>
    </w:p>
    <w:p>
      <w:r>
        <w:t>说明：v1 校准评估显示决策区间 [0.9,1.0) 的实际正确率仅 0.555（自报 0.975），故未校准前档位只用于排序；v2 已完成温度缩放校准（决策区间偏差 −0.060）。</w:t>
      </w:r>
    </w:p>
    <w:p/>
    <w:p>
      <w: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