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r>
        <w:t>8）**评测集继承关键词闸门（结构性局限，本轮实测发现）**：标签集由「关键词初筛 → LLM 复核」产生，因此 `val_v3_test` 的 **128 条正例 100% 含一阶关键词**；不含关键词的评论（占语料 **86.9%**）在构造上不可能被标为正例。后果：现有全部指标（F1@调优 0.7220 等）的适用范围是「**关键词可达子集**」（占语料 13.1%），**闸门之外的真阳性率尚未测量**——这不等于「没有」，而是「未测」。**已做的代理测量**：模型在闸门外评论上的判正率仅 **0.03%**（3/8,687，Wilson 95% CI 0.01–0.10%；对照闸门内误报率 1.94%），故**去掉闸门在当前无收益**（预计仅新增 ≈30 条误报、召回不变，精确率 79.1%→77.0%）。**定论仍需**无关键词抽样 + LLM 复核（下一阶段）。详见 `docs/difficulty_stratification.md`、`docs/outside_gate_fp.md`。</w:t>
      </w:r>
    </w:p>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