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232259">
      <w:pPr>
        <w:jc w:val="center"/>
      </w:pPr>
      <w:r>
        <w:rPr>
          <w:rFonts w:hint="eastAsia" w:ascii="Times New Roman" w:hAnsi="Times New Roman" w:eastAsia="黑体"/>
          <w:b/>
          <w:sz w:val="40"/>
        </w:rPr>
        <w:t>AI+跨境黑客松巅峰赛 · 决赛入围定稿作品</w:t>
      </w:r>
      <w:bookmarkStart w:id="0" w:name="_GoBack"/>
      <w:r>
        <w:rPr>
          <w:rFonts w:hint="eastAsia" w:ascii="Times New Roman" w:hAnsi="Times New Roman" w:eastAsia="黑体"/>
          <w:b/>
          <w:sz w:val="40"/>
          <w:lang w:val="en-US" w:eastAsia="zh-CN"/>
        </w:rPr>
      </w:r>
      <w:bookmarkEnd w:id="0"/>
      <w:r>
        <w:rPr>
          <w:rFonts w:hint="eastAsia" w:ascii="Times New Roman" w:hAnsi="Times New Roman" w:eastAsia="黑体"/>
          <w:b/>
          <w:sz w:val="40"/>
        </w:rPr>
      </w:r>
    </w:p>
    <w:p>
      <w:r>
        <w:rPr>
          <w:b/>
          <w:sz w:val="24"/>
        </w:rPr>
        <w:t>SoundInsight —— 蓝牙耳机音质差评智能归因系统　｜　团队：更新世界的锋芒　｜　参赛场景：AI 市场洞察</w:t>
      </w:r>
    </w:p>
    <w:p w14:paraId="4727268B">
      <w:r>
        <w:t>————————————————————————————————————————</w:t>
      </w:r>
    </w:p>
    <w:p w14:paraId="0DD5EB27">
      <w:pPr>
        <w:pStyle w:val="3"/>
      </w:pPr>
      <w:r>
        <w:rPr>
          <w:rFonts w:hint="eastAsia"/>
        </w:rPr>
        <w:t>提交说明（请先阅读）</w:t>
      </w:r>
    </w:p>
    <w:p w14:paraId="41CC6B73">
      <w:r>
        <w:rPr>
          <w:rFonts w:hint="eastAsia" w:ascii="Times New Roman" w:hAnsi="Times New Roman" w:eastAsia="宋体"/>
          <w:b w:val="0"/>
          <w:sz w:val="22"/>
        </w:rPr>
        <w:t>1. 本模板使用 Word 编辑，填写完成后，请将「本模板 + 附件材料」打包为一个 zip 文件提交。</w:t>
      </w:r>
    </w:p>
    <w:p w14:paraId="46730FB3">
      <w:r>
        <w:rPr>
          <w:rFonts w:hint="eastAsia" w:ascii="Times New Roman" w:hAnsi="Times New Roman" w:eastAsia="宋体"/>
          <w:b w:val="0"/>
          <w:sz w:val="22"/>
        </w:rPr>
        <w:t>2. zip 文件命名：团队名_方案名称_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作品.zip（例：凌云队_智能上新助手_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00E4DF0D">
      <w:r>
        <w:rPr>
          <w:rFonts w:hint="eastAsia" w:ascii="Times New Roman" w:hAnsi="Times New Roman" w:eastAsia="宋体"/>
          <w:b w:val="0"/>
          <w:sz w:val="22"/>
        </w:rPr>
        <w:t>3. 天池渠道仅支持提交一个打包 zip 文件，请将所有材料放入同一个 zip 中上传。</w:t>
      </w:r>
    </w:p>
    <w:p w14:paraId="4135F190">
      <w:r>
        <w:rPr>
          <w:rFonts w:hint="eastAsia" w:ascii="Times New Roman" w:hAnsi="Times New Roman" w:eastAsia="宋体"/>
          <w:b w:val="0"/>
          <w:sz w:val="22"/>
        </w:rPr>
        <w:t>4. 作品需具备可演示的核心功能，证明方案可实现、可使用、具有业务价值。</w:t>
      </w:r>
    </w:p>
    <w:p w14:paraId="33D065D2">
      <w:r>
        <w:rPr>
          <w:rFonts w:hint="eastAsia" w:ascii="Times New Roman" w:hAnsi="Times New Roman" w:eastAsia="宋体"/>
          <w:b w:val="0"/>
          <w:sz w:val="22"/>
        </w:rPr>
        <w:t>5. 如有其他补充材料（测试报告、用户反馈等），可附在文档末尾，一并放入 zip。</w:t>
      </w:r>
    </w:p>
    <w:p w14:paraId="6AC3CAE8">
      <w:r>
        <w:t>————————————————————————————————————————</w:t>
      </w:r>
    </w:p>
    <w:p w14:paraId="130A5C49">
      <w:pPr>
        <w:pStyle w:val="3"/>
      </w:pPr>
      <w:r>
        <w:rPr>
          <w:rFonts w:hint="eastAsia"/>
        </w:rPr>
        <w:t>一、团队信息（必填基本信息）</w:t>
      </w:r>
    </w:p>
    <w:p w14:paraId="4005D354">
      <w:r>
        <w:rPr>
          <w:rFonts w:hint="eastAsia" w:ascii="Times New Roman" w:hAnsi="Times New Roman" w:eastAsia="宋体"/>
          <w:b w:val="0"/>
          <w:color w:val="969696"/>
          <w:sz w:val="20"/>
        </w:rPr>
        <w:t>以下信息为组委会联系与奖励发放依据，请务必填写完整。</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021C73C">
        <w:tc>
          <w:tcPr>
            <w:tcW w:w="4320" w:type="dxa"/>
          </w:tcPr>
          <w:p w14:paraId="685BEBE9">
            <w:pPr>
              <w:spacing w:after="0" w:line="240" w:lineRule="auto"/>
            </w:pPr>
            <w:r>
              <w:rPr>
                <w:rFonts w:hint="eastAsia" w:ascii="Times New Roman" w:hAnsi="Times New Roman" w:eastAsia="黑体"/>
                <w:b/>
                <w:sz w:val="22"/>
              </w:rPr>
              <w:t>字段</w:t>
            </w:r>
          </w:p>
        </w:tc>
        <w:tc>
          <w:tcPr>
            <w:tcW w:w="4320" w:type="dxa"/>
          </w:tcPr>
          <w:p w14:paraId="3EDBC3D5">
            <w:pPr>
              <w:spacing w:after="0" w:line="240" w:lineRule="auto"/>
            </w:pPr>
            <w:r>
              <w:rPr>
                <w:rFonts w:hint="eastAsia" w:ascii="Times New Roman" w:hAnsi="Times New Roman" w:eastAsia="宋体"/>
                <w:b w:val="0"/>
                <w:sz w:val="22"/>
              </w:rPr>
              <w:t>填写内容</w:t>
            </w:r>
          </w:p>
        </w:tc>
      </w:tr>
      <w:tr w14:paraId="5F6A0404">
        <w:tc>
          <w:tcPr>
            <w:tcW w:w="4320" w:type="dxa"/>
          </w:tcPr>
          <w:p w14:paraId="0F848710">
            <w:pPr>
              <w:spacing w:after="0" w:line="240" w:lineRule="auto"/>
            </w:pPr>
            <w:r>
              <w:rPr>
                <w:rFonts w:hint="eastAsia" w:ascii="Times New Roman" w:hAnsi="Times New Roman" w:eastAsia="黑体"/>
                <w:b w:val="0"/>
                <w:sz w:val="22"/>
              </w:rPr>
              <w:t>团队名称</w:t>
            </w:r>
          </w:p>
        </w:tc>
        <w:tc>
          <w:tcPr>
            <w:tcW w:w="4320" w:type="dxa"/>
          </w:tcPr>
          <w:p>
            <w:r/>
            <w:r>
              <w:t>更新世界的锋芒</w:t>
            </w:r>
          </w:p>
        </w:tc>
      </w:tr>
      <w:tr w14:paraId="01449C30">
        <w:tc>
          <w:tcPr>
            <w:tcW w:w="4320" w:type="dxa"/>
          </w:tcPr>
          <w:p w14:paraId="65CC92A1">
            <w:pPr>
              <w:spacing w:after="0" w:line="240" w:lineRule="auto"/>
            </w:pPr>
            <w:r>
              <w:rPr>
                <w:rFonts w:hint="eastAsia" w:ascii="Times New Roman" w:hAnsi="Times New Roman" w:eastAsia="黑体"/>
                <w:b w:val="0"/>
                <w:sz w:val="22"/>
              </w:rPr>
              <w:t>队长姓名</w:t>
            </w:r>
          </w:p>
        </w:tc>
        <w:tc>
          <w:tcPr>
            <w:tcW w:w="4320" w:type="dxa"/>
          </w:tcPr>
          <w:p>
            <w:r/>
            <w:r>
              <w:t>黎同竣</w:t>
            </w:r>
          </w:p>
        </w:tc>
      </w:tr>
      <w:tr w14:paraId="1BABC31B">
        <w:tc>
          <w:tcPr>
            <w:tcW w:w="4320" w:type="dxa"/>
          </w:tcPr>
          <w:p w14:paraId="505BABBD">
            <w:pPr>
              <w:spacing w:after="0" w:line="240" w:lineRule="auto"/>
            </w:pPr>
            <w:r>
              <w:rPr>
                <w:rFonts w:hint="eastAsia" w:ascii="Times New Roman" w:hAnsi="Times New Roman" w:eastAsia="黑体"/>
                <w:b w:val="0"/>
                <w:sz w:val="22"/>
              </w:rPr>
              <w:t>联系电话</w:t>
            </w:r>
          </w:p>
        </w:tc>
        <w:tc>
          <w:tcPr>
            <w:tcW w:w="4320" w:type="dxa"/>
          </w:tcPr>
          <w:p>
            <w:r/>
            <w:r>
              <w:t>19195907942</w:t>
            </w:r>
          </w:p>
        </w:tc>
      </w:tr>
      <w:tr w14:paraId="145DC022">
        <w:tc>
          <w:tcPr>
            <w:tcW w:w="4320" w:type="dxa"/>
          </w:tcPr>
          <w:p w14:paraId="277EF63F">
            <w:pPr>
              <w:spacing w:after="0" w:line="240" w:lineRule="auto"/>
            </w:pPr>
            <w:r>
              <w:rPr>
                <w:rFonts w:hint="eastAsia" w:ascii="Times New Roman" w:hAnsi="Times New Roman" w:eastAsia="黑体"/>
                <w:b w:val="0"/>
                <w:sz w:val="22"/>
              </w:rPr>
              <w:t>联系邮箱</w:t>
            </w:r>
          </w:p>
        </w:tc>
        <w:tc>
          <w:tcPr>
            <w:tcW w:w="4320" w:type="dxa"/>
          </w:tcPr>
          <w:p>
            <w:r/>
            <w:r>
              <w:t>2799920054@qq.com</w:t>
            </w:r>
          </w:p>
        </w:tc>
      </w:tr>
    </w:tbl>
    <w:p w14:paraId="36EC57BD"/>
    <w:p w14:paraId="1BF241F0">
      <w:pPr>
        <w:rPr>
          <w:rFonts w:hint="eastAsia" w:ascii="Times New Roman" w:hAnsi="Times New Roman" w:eastAsia="黑体"/>
          <w:b/>
          <w:sz w:val="22"/>
        </w:rPr>
      </w:pPr>
      <w:r>
        <w:rPr>
          <w:rFonts w:hint="eastAsia" w:ascii="Times New Roman" w:hAnsi="Times New Roman" w:eastAsia="黑体"/>
          <w:b/>
          <w:sz w:val="22"/>
        </w:rPr>
        <w:t>全体成员（可列多行：姓名 / 角色 / 职责）：</w:t>
      </w:r>
    </w:p>
    <w:p w14:paraId="28D2F00C">
      <w:pPr>
        <w:rPr>
          <w:rFonts w:hint="eastAsia" w:ascii="Times New Roman" w:hAnsi="Times New Roman" w:eastAsia="黑体"/>
          <w:b/>
          <w:sz w:val="22"/>
        </w:rPr>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44"/>
        <w:gridCol w:w="1513"/>
        <w:gridCol w:w="1711"/>
        <w:gridCol w:w="1450"/>
        <w:gridCol w:w="1257"/>
        <w:gridCol w:w="1905"/>
      </w:tblGrid>
      <w:tr w14:paraId="4A31E7FA">
        <w:trPr>
          <w:trHeight w:val="316" w:hRule="atLeast"/>
          <w:jc w:val="center"/>
        </w:trPr>
        <w:tc>
          <w:tcPr>
            <w:tcW w:w="744" w:type="dxa"/>
          </w:tcPr>
          <w:p w14:paraId="5A5D1D72">
            <w:pPr>
              <w:spacing w:after="0" w:line="240" w:lineRule="auto"/>
              <w:jc w:val="center"/>
              <w:rPr>
                <w:rFonts w:hint="eastAsia" w:eastAsia="宋体"/>
                <w:b/>
                <w:bCs w:val="0"/>
                <w:lang w:val="en-US" w:eastAsia="zh-CN"/>
              </w:rPr>
            </w:pPr>
            <w:r>
              <w:rPr>
                <w:rFonts w:hint="eastAsia" w:eastAsia="宋体"/>
                <w:b/>
                <w:bCs w:val="0"/>
                <w:lang w:val="en-US" w:eastAsia="zh-CN"/>
              </w:rPr>
              <w:t>姓名</w:t>
            </w:r>
          </w:p>
        </w:tc>
        <w:tc>
          <w:tcPr>
            <w:tcW w:w="1513" w:type="dxa"/>
          </w:tcPr>
          <w:p w14:paraId="3728BDFB">
            <w:pPr>
              <w:spacing w:after="0" w:line="240" w:lineRule="auto"/>
              <w:jc w:val="center"/>
              <w:rPr>
                <w:rFonts w:hint="eastAsia" w:eastAsia="宋体"/>
                <w:b/>
                <w:bCs w:val="0"/>
                <w:lang w:val="en-US" w:eastAsia="zh-CN"/>
              </w:rPr>
            </w:pPr>
            <w:r>
              <w:rPr>
                <w:rFonts w:hint="eastAsia" w:eastAsia="宋体"/>
                <w:b/>
                <w:bCs w:val="0"/>
                <w:lang w:val="en-US" w:eastAsia="zh-CN"/>
              </w:rPr>
              <w:t>电话</w:t>
            </w:r>
          </w:p>
        </w:tc>
        <w:tc>
          <w:tcPr>
            <w:tcW w:w="1711" w:type="dxa"/>
          </w:tcPr>
          <w:p w14:paraId="35532AF3">
            <w:pPr>
              <w:spacing w:after="0" w:line="240" w:lineRule="auto"/>
              <w:jc w:val="center"/>
              <w:rPr>
                <w:rFonts w:hint="eastAsia" w:eastAsia="宋体"/>
                <w:b/>
                <w:bCs w:val="0"/>
                <w:lang w:val="en-US" w:eastAsia="zh-CN"/>
              </w:rPr>
            </w:pPr>
            <w:r>
              <w:rPr>
                <w:rFonts w:hint="eastAsia" w:eastAsia="宋体"/>
                <w:b/>
                <w:bCs w:val="0"/>
                <w:lang w:val="en-US" w:eastAsia="zh-CN"/>
              </w:rPr>
              <w:t>邮箱</w:t>
            </w:r>
          </w:p>
        </w:tc>
        <w:tc>
          <w:tcPr>
            <w:tcW w:w="1450" w:type="dxa"/>
          </w:tcPr>
          <w:p w14:paraId="437304ED">
            <w:pPr>
              <w:spacing w:after="0" w:line="240" w:lineRule="auto"/>
              <w:jc w:val="center"/>
              <w:rPr>
                <w:rFonts w:hint="default" w:eastAsia="宋体"/>
                <w:b/>
                <w:bCs w:val="0"/>
                <w:lang w:val="en-US" w:eastAsia="zh-CN"/>
              </w:rPr>
            </w:pPr>
            <w:r>
              <w:rPr>
                <w:rFonts w:hint="eastAsia" w:eastAsia="宋体"/>
                <w:b/>
                <w:bCs w:val="0"/>
                <w:lang w:val="en-US" w:eastAsia="zh-CN"/>
              </w:rPr>
              <w:t>组织/公司</w:t>
            </w:r>
          </w:p>
        </w:tc>
        <w:tc>
          <w:tcPr>
            <w:tcW w:w="1257" w:type="dxa"/>
          </w:tcPr>
          <w:p w14:paraId="3D0D1B11">
            <w:pPr>
              <w:spacing w:after="0" w:line="240" w:lineRule="auto"/>
              <w:jc w:val="center"/>
              <w:rPr>
                <w:rFonts w:hint="default" w:eastAsia="宋体"/>
                <w:b/>
                <w:bCs w:val="0"/>
                <w:lang w:val="en-US" w:eastAsia="zh-CN"/>
              </w:rPr>
            </w:pPr>
            <w:r>
              <w:rPr>
                <w:rFonts w:hint="eastAsia" w:eastAsia="宋体"/>
                <w:b/>
                <w:bCs w:val="0"/>
                <w:lang w:val="en-US" w:eastAsia="zh-CN"/>
              </w:rPr>
              <w:t>职务</w:t>
            </w:r>
          </w:p>
        </w:tc>
        <w:tc>
          <w:tcPr>
            <w:tcW w:w="1905" w:type="dxa"/>
          </w:tcPr>
          <w:p w14:paraId="613799E9">
            <w:pPr>
              <w:spacing w:after="0" w:line="240" w:lineRule="auto"/>
              <w:jc w:val="center"/>
              <w:rPr>
                <w:rFonts w:hint="default" w:eastAsia="宋体"/>
                <w:b/>
                <w:bCs w:val="0"/>
                <w:lang w:val="en-US" w:eastAsia="zh-CN"/>
              </w:rPr>
            </w:pPr>
            <w:r>
              <w:rPr>
                <w:rFonts w:hint="eastAsia" w:eastAsia="宋体"/>
                <w:b/>
                <w:bCs w:val="0"/>
                <w:lang w:val="en-US" w:eastAsia="zh-CN"/>
              </w:rPr>
              <w:t>角色(队长/队员)</w:t>
            </w:r>
          </w:p>
        </w:tc>
      </w:tr>
      <w:tr w14:paraId="1B000C5F">
        <w:trPr>
          <w:jc w:val="center"/>
        </w:trPr>
        <w:tc>
          <w:tcPr>
            <w:tcW w:w="744" w:type="dxa"/>
          </w:tcPr>
          <w:p>
            <w:r/>
            <w:r>
              <w:t>黎同竣</w:t>
            </w:r>
          </w:p>
        </w:tc>
        <w:tc>
          <w:tcPr>
            <w:tcW w:w="1513" w:type="dxa"/>
          </w:tcPr>
          <w:p>
            <w:r/>
            <w:r>
              <w:t>19195907942</w:t>
            </w:r>
          </w:p>
        </w:tc>
        <w:tc>
          <w:tcPr>
            <w:tcW w:w="1711" w:type="dxa"/>
          </w:tcPr>
          <w:p>
            <w:r/>
            <w:r>
              <w:t>2799920054@qq.com</w:t>
            </w:r>
          </w:p>
        </w:tc>
        <w:tc>
          <w:tcPr>
            <w:tcW w:w="1450" w:type="dxa"/>
          </w:tcPr>
          <w:p>
            <w:r/>
            <w:r>
              <w:t>个人团队</w:t>
            </w:r>
          </w:p>
        </w:tc>
        <w:tc>
          <w:tcPr>
            <w:tcW w:w="1257" w:type="dxa"/>
          </w:tcPr>
          <w:p>
            <w:r/>
            <w:r>
              <w:t>个人开发者</w:t>
            </w:r>
          </w:p>
        </w:tc>
        <w:tc>
          <w:tcPr>
            <w:tcW w:w="1905" w:type="dxa"/>
          </w:tcPr>
          <w:p>
            <w:r/>
            <w:r>
              <w:t>队长</w:t>
            </w:r>
          </w:p>
        </w:tc>
      </w:tr>
      <w:tr w14:paraId="4F6C30BD">
        <w:trPr>
          <w:jc w:val="center"/>
        </w:trPr>
        <w:tc>
          <w:tcPr>
            <w:tcW w:w="744" w:type="dxa"/>
          </w:tcPr>
          <w:p w14:paraId="4292DCED">
            <w:pPr>
              <w:spacing w:after="0" w:line="240" w:lineRule="auto"/>
            </w:pPr>
          </w:p>
        </w:tc>
        <w:tc>
          <w:tcPr>
            <w:tcW w:w="1513" w:type="dxa"/>
          </w:tcPr>
          <w:p w14:paraId="3152B107">
            <w:pPr>
              <w:spacing w:after="0" w:line="240" w:lineRule="auto"/>
            </w:pPr>
          </w:p>
        </w:tc>
        <w:tc>
          <w:tcPr>
            <w:tcW w:w="1711" w:type="dxa"/>
          </w:tcPr>
          <w:p w14:paraId="33EBD898">
            <w:pPr>
              <w:spacing w:after="0" w:line="240" w:lineRule="auto"/>
            </w:pPr>
          </w:p>
        </w:tc>
        <w:tc>
          <w:tcPr>
            <w:tcW w:w="1450" w:type="dxa"/>
          </w:tcPr>
          <w:p w14:paraId="432C5625">
            <w:pPr>
              <w:spacing w:after="0" w:line="240" w:lineRule="auto"/>
            </w:pPr>
          </w:p>
        </w:tc>
        <w:tc>
          <w:tcPr>
            <w:tcW w:w="1257" w:type="dxa"/>
          </w:tcPr>
          <w:p w14:paraId="46CA3FCC">
            <w:pPr>
              <w:spacing w:after="0" w:line="240" w:lineRule="auto"/>
            </w:pPr>
          </w:p>
        </w:tc>
        <w:tc>
          <w:tcPr>
            <w:tcW w:w="1905" w:type="dxa"/>
          </w:tcPr>
          <w:p w14:paraId="264141FA">
            <w:pPr>
              <w:spacing w:after="0" w:line="240" w:lineRule="auto"/>
            </w:pPr>
          </w:p>
        </w:tc>
      </w:tr>
      <w:tr w14:paraId="02C71EDD">
        <w:trPr>
          <w:jc w:val="center"/>
        </w:trPr>
        <w:tc>
          <w:tcPr>
            <w:tcW w:w="744" w:type="dxa"/>
          </w:tcPr>
          <w:p w14:paraId="4F22978D">
            <w:pPr>
              <w:spacing w:after="0" w:line="240" w:lineRule="auto"/>
            </w:pPr>
          </w:p>
        </w:tc>
        <w:tc>
          <w:tcPr>
            <w:tcW w:w="1513" w:type="dxa"/>
          </w:tcPr>
          <w:p w14:paraId="3BD99A9C">
            <w:pPr>
              <w:spacing w:after="0" w:line="240" w:lineRule="auto"/>
            </w:pPr>
          </w:p>
        </w:tc>
        <w:tc>
          <w:tcPr>
            <w:tcW w:w="1711" w:type="dxa"/>
          </w:tcPr>
          <w:p w14:paraId="6F417505">
            <w:pPr>
              <w:spacing w:after="0" w:line="240" w:lineRule="auto"/>
            </w:pPr>
          </w:p>
        </w:tc>
        <w:tc>
          <w:tcPr>
            <w:tcW w:w="1450" w:type="dxa"/>
          </w:tcPr>
          <w:p w14:paraId="47E15F35">
            <w:pPr>
              <w:spacing w:after="0" w:line="240" w:lineRule="auto"/>
            </w:pPr>
          </w:p>
        </w:tc>
        <w:tc>
          <w:tcPr>
            <w:tcW w:w="1257" w:type="dxa"/>
          </w:tcPr>
          <w:p w14:paraId="354F5584">
            <w:pPr>
              <w:spacing w:after="0" w:line="240" w:lineRule="auto"/>
            </w:pPr>
          </w:p>
        </w:tc>
        <w:tc>
          <w:tcPr>
            <w:tcW w:w="1905" w:type="dxa"/>
          </w:tcPr>
          <w:p w14:paraId="2620A030">
            <w:pPr>
              <w:spacing w:after="0" w:line="240" w:lineRule="auto"/>
            </w:pPr>
          </w:p>
        </w:tc>
      </w:tr>
      <w:tr w14:paraId="66F1E524">
        <w:trPr>
          <w:jc w:val="center"/>
        </w:trPr>
        <w:tc>
          <w:tcPr>
            <w:tcW w:w="744" w:type="dxa"/>
          </w:tcPr>
          <w:p w14:paraId="699C66E0">
            <w:pPr>
              <w:spacing w:after="0" w:line="240" w:lineRule="auto"/>
            </w:pPr>
          </w:p>
        </w:tc>
        <w:tc>
          <w:tcPr>
            <w:tcW w:w="1513" w:type="dxa"/>
          </w:tcPr>
          <w:p w14:paraId="3D927E0B">
            <w:pPr>
              <w:spacing w:after="0" w:line="240" w:lineRule="auto"/>
            </w:pPr>
          </w:p>
        </w:tc>
        <w:tc>
          <w:tcPr>
            <w:tcW w:w="1711" w:type="dxa"/>
          </w:tcPr>
          <w:p w14:paraId="7E76C522">
            <w:pPr>
              <w:spacing w:after="0" w:line="240" w:lineRule="auto"/>
            </w:pPr>
          </w:p>
        </w:tc>
        <w:tc>
          <w:tcPr>
            <w:tcW w:w="1450" w:type="dxa"/>
          </w:tcPr>
          <w:p w14:paraId="0215AD01">
            <w:pPr>
              <w:spacing w:after="0" w:line="240" w:lineRule="auto"/>
            </w:pPr>
          </w:p>
        </w:tc>
        <w:tc>
          <w:tcPr>
            <w:tcW w:w="1257" w:type="dxa"/>
          </w:tcPr>
          <w:p w14:paraId="049A79A3">
            <w:pPr>
              <w:spacing w:after="0" w:line="240" w:lineRule="auto"/>
            </w:pPr>
          </w:p>
        </w:tc>
        <w:tc>
          <w:tcPr>
            <w:tcW w:w="1905" w:type="dxa"/>
          </w:tcPr>
          <w:p w14:paraId="435FBA95">
            <w:pPr>
              <w:spacing w:after="0" w:line="240" w:lineRule="auto"/>
            </w:pPr>
          </w:p>
        </w:tc>
      </w:tr>
    </w:tbl>
    <w:p w14:paraId="73502619"/>
    <w:p w14:paraId="2A94C8B4">
      <w:r>
        <w:t>———————————————————————————————————————</w:t>
      </w:r>
    </w:p>
    <w:p w14:paraId="4C735C48">
      <w:pPr>
        <w:pStyle w:val="3"/>
      </w:pPr>
      <w:r>
        <w:rPr>
          <w:rFonts w:hint="eastAsia"/>
        </w:rPr>
        <w:t>二、参赛信息</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CDFA8D8">
        <w:tc>
          <w:tcPr>
            <w:tcW w:w="4320" w:type="dxa"/>
          </w:tcPr>
          <w:p w14:paraId="3771450C">
            <w:pPr>
              <w:spacing w:after="0" w:line="240" w:lineRule="auto"/>
            </w:pPr>
            <w:r>
              <w:rPr>
                <w:rFonts w:hint="eastAsia" w:ascii="Times New Roman" w:hAnsi="Times New Roman" w:eastAsia="黑体"/>
                <w:b/>
                <w:sz w:val="22"/>
              </w:rPr>
              <w:t>字段</w:t>
            </w:r>
          </w:p>
        </w:tc>
        <w:tc>
          <w:tcPr>
            <w:tcW w:w="4320" w:type="dxa"/>
          </w:tcPr>
          <w:p w14:paraId="31C56C44">
            <w:pPr>
              <w:spacing w:after="0" w:line="240" w:lineRule="auto"/>
            </w:pPr>
            <w:r>
              <w:rPr>
                <w:rFonts w:hint="eastAsia" w:ascii="Times New Roman" w:hAnsi="Times New Roman" w:eastAsia="宋体"/>
                <w:b w:val="0"/>
                <w:sz w:val="22"/>
              </w:rPr>
              <w:t>填写内容</w:t>
            </w:r>
          </w:p>
        </w:tc>
      </w:tr>
      <w:tr w14:paraId="02ECCDFB">
        <w:tc>
          <w:tcPr>
            <w:tcW w:w="4320" w:type="dxa"/>
          </w:tcPr>
          <w:p w14:paraId="2F8976BE">
            <w:pPr>
              <w:spacing w:after="0" w:line="240" w:lineRule="auto"/>
            </w:pPr>
            <w:r>
              <w:rPr>
                <w:rFonts w:hint="eastAsia" w:ascii="Times New Roman" w:hAnsi="Times New Roman" w:eastAsia="黑体"/>
                <w:b w:val="0"/>
                <w:sz w:val="22"/>
              </w:rPr>
              <w:t>参赛场景</w:t>
            </w:r>
          </w:p>
        </w:tc>
        <w:tc>
          <w:tcPr>
            <w:tcW w:w="4320" w:type="dxa"/>
          </w:tcPr>
          <w:p>
            <w:r/>
            <w:r>
              <w:t>AI市场洞察</w:t>
            </w:r>
          </w:p>
        </w:tc>
      </w:tr>
      <w:tr w14:paraId="27D2CF78">
        <w:tc>
          <w:tcPr>
            <w:tcW w:w="4320" w:type="dxa"/>
          </w:tcPr>
          <w:p w14:paraId="51EDA067">
            <w:pPr>
              <w:spacing w:after="0" w:line="240" w:lineRule="auto"/>
            </w:pPr>
            <w:r>
              <w:rPr>
                <w:rFonts w:hint="eastAsia" w:ascii="Times New Roman" w:hAnsi="Times New Roman" w:eastAsia="黑体"/>
                <w:b w:val="0"/>
                <w:sz w:val="22"/>
              </w:rPr>
              <w:t>方案名称</w:t>
            </w:r>
          </w:p>
        </w:tc>
        <w:tc>
          <w:tcPr>
            <w:tcW w:w="4320" w:type="dxa"/>
          </w:tcPr>
          <w:p>
            <w:r/>
            <w:r>
              <w:t>SoundInsight</w:t>
            </w:r>
          </w:p>
        </w:tc>
      </w:tr>
    </w:tbl>
    <w:p w14:paraId="7DC5BD47"/>
    <w:p w14:paraId="6B1121EB">
      <w:r>
        <w:rPr>
          <w:rFonts w:hint="eastAsia" w:ascii="Times New Roman" w:hAnsi="Times New Roman" w:eastAsia="黑体"/>
          <w:b/>
          <w:sz w:val="22"/>
        </w:rPr>
        <w:t>一句话定义：为跨境电商耳机卖家提供音质差评自动识别与五类问题归因的一站式洞察工具，把人工数小时的差评梳理压缩到分钟级；产品推理 100% 本地，卖家数据不出境。</w:t>
      </w:r>
    </w:p>
    <w:p w14:paraId="564E3F30"/>
    <w:p w14:paraId="2A75F12D">
      <w:r>
        <w:t>————————————————————————————————————————</w:t>
      </w:r>
    </w:p>
    <w:p w14:paraId="0D408510">
      <w:pPr>
        <w:pStyle w:val="3"/>
      </w:pPr>
      <w:r>
        <w:rPr>
          <w:rFonts w:hint="eastAsia"/>
        </w:rPr>
        <w:t>三、业务价值与市场分析（业务侧评审重点）</w:t>
      </w:r>
    </w:p>
    <w:p w14:paraId="46CC20AC">
      <w:r>
        <w:rPr>
          <w:rFonts w:hint="eastAsia"/>
        </w:rPr>
        <w:t>本部分是业务侧评审的核心依据，请重点描述方案的商业价值与应用前景，让评委理解你的项目为什么值得做。</w:t>
      </w:r>
    </w:p>
    <w:p w14:paraId="6EB143FB">
      <w:r>
        <w:rPr>
          <w:rFonts w:hint="eastAsia"/>
        </w:rPr>
        <w:t>3.1 目标用户与业务痛点</w:t>
      </w:r>
    </w:p>
    <w:p>
      <w:r>
        <w:t>目标用户：跨境电商平台耳机类目的中小卖家（团队 &lt;10 人、无专职数据分析师）。</w:t>
      </w:r>
    </w:p>
    <w:p>
      <w:r>
        <w:t>核心痛点：</w:t>
      </w:r>
    </w:p>
    <w:p>
      <w:r>
        <w:t>1）差评量大：日均 50–200 条，人工翻看耗时；</w:t>
      </w:r>
    </w:p>
    <w:p>
      <w:r>
        <w:t>2）语言杂：以英文为主，夹杂西班牙语、日语等；</w:t>
      </w:r>
    </w:p>
    <w:p>
      <w:r>
        <w:t>3）音质问题隐蔽：藏在长文本里——本项目实测三星评论中 41.5%（95% CI 34.9–48.4%，n=200，Wilson 区间）实为音质差评却被关键词规则漏检；</w:t>
      </w:r>
    </w:p>
    <w:p>
      <w:r>
        <w:t>4）改进滞后：无法系统归类问题，产品迭代只能凭经验。</w:t>
      </w:r>
    </w:p>
    <w:p w14:paraId="739676C0"/>
    <w:p w14:paraId="3A96F06C">
      <w:r>
        <w:rPr>
          <w:rFonts w:hint="eastAsia"/>
        </w:rPr>
        <w:t>3.2 应用场景与使用流程</w:t>
      </w:r>
    </w:p>
    <w:p>
      <w:r>
        <w:t>场景一（选品）：产品经理输入竞品 ASIN，生成音质差评对比报告；</w:t>
      </w:r>
    </w:p>
    <w:p>
      <w:r>
        <w:t>场景二（优化）：运营上传自家评论 CSV，一键生成问题分布与整改建议；</w:t>
      </w:r>
    </w:p>
    <w:p>
      <w:r>
        <w:t>场景三（迭代）：研发对比改版前后报告，验证改进效果；</w:t>
      </w:r>
    </w:p>
    <w:p>
      <w:r>
        <w:t>使用流程：上传 CSV → 分析（本地 GPU 实测 1.763 秒／1000 条）→ 查看报告（含优先级排序）→ 导出 Markdown／Excel。</w:t>
      </w:r>
    </w:p>
    <w:p w14:paraId="50FB5D11"/>
    <w:p w14:paraId="0CBC1C8F">
      <w:r>
        <w:rPr>
          <w:rFonts w:hint="eastAsia"/>
        </w:rPr>
        <w:t>3.3 商业价值与预期效果</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指标</w:t>
            </w:r>
          </w:p>
        </w:tc>
        <w:tc>
          <w:tcPr>
            <w:tcW w:type="dxa" w:w="2160"/>
          </w:tcPr>
          <w:p>
            <w:r/>
            <w:r>
              <w:rPr>
                <w:b/>
                <w:sz w:val="18"/>
              </w:rPr>
              <w:t>人工翻评</w:t>
            </w:r>
          </w:p>
        </w:tc>
        <w:tc>
          <w:tcPr>
            <w:tcW w:type="dxa" w:w="2160"/>
          </w:tcPr>
          <w:p>
            <w:r/>
            <w:r>
              <w:rPr>
                <w:b/>
                <w:sz w:val="18"/>
              </w:rPr>
              <w:t>SoundInsight</w:t>
            </w:r>
          </w:p>
        </w:tc>
        <w:tc>
          <w:tcPr>
            <w:tcW w:type="dxa" w:w="2160"/>
          </w:tcPr>
          <w:p>
            <w:r/>
            <w:r>
              <w:rPr>
                <w:b/>
                <w:sz w:val="18"/>
              </w:rPr>
              <w:t>说明</w:t>
            </w:r>
          </w:p>
        </w:tc>
      </w:tr>
      <w:tr>
        <w:tc>
          <w:tcPr>
            <w:tcW w:type="dxa" w:w="2160"/>
          </w:tcPr>
          <w:p>
            <w:r/>
            <w:r>
              <w:rPr>
                <w:sz w:val="18"/>
              </w:rPr>
              <w:t>处理 1,000 条评论耗时</w:t>
            </w:r>
          </w:p>
        </w:tc>
        <w:tc>
          <w:tcPr>
            <w:tcW w:type="dxa" w:w="2160"/>
          </w:tcPr>
          <w:p>
            <w:r/>
            <w:r>
              <w:rPr>
                <w:sz w:val="18"/>
              </w:rPr>
              <w:t>8 小时（假设口径）</w:t>
            </w:r>
          </w:p>
        </w:tc>
        <w:tc>
          <w:tcPr>
            <w:tcW w:type="dxa" w:w="2160"/>
          </w:tcPr>
          <w:p>
            <w:r/>
            <w:r>
              <w:rPr>
                <w:sz w:val="18"/>
              </w:rPr>
              <w:t>约 1.8 秒（本地 GPU 实测 1.763 s／1000 条；CPU 28.4 秒）</w:t>
            </w:r>
          </w:p>
        </w:tc>
        <w:tc>
          <w:tcPr>
            <w:tcW w:type="dxa" w:w="2160"/>
          </w:tcPr>
          <w:p>
            <w:r/>
            <w:r>
              <w:rPr>
                <w:sz w:val="18"/>
              </w:rPr>
              <w:t>&gt;99.9%</w:t>
            </w:r>
          </w:p>
        </w:tc>
      </w:tr>
      <w:tr>
        <w:tc>
          <w:tcPr>
            <w:tcW w:type="dxa" w:w="2160"/>
          </w:tcPr>
          <w:p>
            <w:r/>
            <w:r>
              <w:rPr>
                <w:sz w:val="18"/>
              </w:rPr>
              <w:t>人力成本（按 30 元／小时，假设口径）</w:t>
            </w:r>
          </w:p>
        </w:tc>
        <w:tc>
          <w:tcPr>
            <w:tcW w:type="dxa" w:w="2160"/>
          </w:tcPr>
          <w:p>
            <w:r/>
            <w:r>
              <w:rPr>
                <w:sz w:val="18"/>
              </w:rPr>
              <w:t>240 元（假设口径）</w:t>
            </w:r>
          </w:p>
        </w:tc>
        <w:tc>
          <w:tcPr>
            <w:tcW w:type="dxa" w:w="2160"/>
          </w:tcPr>
          <w:p>
            <w:r/>
            <w:r>
              <w:rPr>
                <w:sz w:val="18"/>
              </w:rPr>
              <w:t>0 元（本地推理，无 API 费用）</w:t>
            </w:r>
          </w:p>
        </w:tc>
        <w:tc>
          <w:tcPr>
            <w:tcW w:type="dxa" w:w="2160"/>
          </w:tcPr>
          <w:p>
            <w:r/>
            <w:r>
              <w:rPr>
                <w:sz w:val="18"/>
              </w:rPr>
              <w:t>100%</w:t>
            </w:r>
          </w:p>
        </w:tc>
      </w:tr>
      <w:tr>
        <w:tc>
          <w:tcPr>
            <w:tcW w:type="dxa" w:w="2160"/>
          </w:tcPr>
          <w:p>
            <w:r/>
            <w:r>
              <w:rPr>
                <w:sz w:val="18"/>
              </w:rPr>
              <w:t>音质差评识别</w:t>
            </w:r>
          </w:p>
        </w:tc>
        <w:tc>
          <w:tcPr>
            <w:tcW w:type="dxa" w:w="2160"/>
          </w:tcPr>
          <w:p>
            <w:r/>
            <w:r>
              <w:rPr>
                <w:sz w:val="18"/>
              </w:rPr>
              <w:t>依赖经验、易遗漏</w:t>
            </w:r>
          </w:p>
        </w:tc>
        <w:tc>
          <w:tcPr>
            <w:tcW w:type="dxa" w:w="2160"/>
          </w:tcPr>
          <w:p>
            <w:r/>
            <w:r>
              <w:rPr>
                <w:sz w:val="18"/>
              </w:rPr>
              <w:t>F1@调优 = 0.7220[v2]；高召回档 F1@0.5 = 0.7206[v2]</w:t>
            </w:r>
          </w:p>
        </w:tc>
        <w:tc>
          <w:tcPr>
            <w:tcW w:type="dxa" w:w="2160"/>
          </w:tcPr>
          <w:p>
            <w:r/>
            <w:r>
              <w:rPr>
                <w:sz w:val="18"/>
              </w:rPr>
              <w:t>可量化、可复算</w:t>
            </w:r>
          </w:p>
        </w:tc>
      </w:tr>
      <w:tr>
        <w:tc>
          <w:tcPr>
            <w:tcW w:type="dxa" w:w="2160"/>
          </w:tcPr>
          <w:p>
            <w:r/>
            <w:r>
              <w:rPr>
                <w:sz w:val="18"/>
              </w:rPr>
              <w:t>问题归因</w:t>
            </w:r>
          </w:p>
        </w:tc>
        <w:tc>
          <w:tcPr>
            <w:tcW w:type="dxa" w:w="2160"/>
          </w:tcPr>
          <w:p>
            <w:r/>
            <w:r>
              <w:rPr>
                <w:sz w:val="18"/>
              </w:rPr>
              <w:t>无法系统分类</w:t>
            </w:r>
          </w:p>
        </w:tc>
        <w:tc>
          <w:tcPr>
            <w:tcW w:type="dxa" w:w="2160"/>
          </w:tcPr>
          <w:p>
            <w:r/>
            <w:r>
              <w:rPr>
                <w:sz w:val="18"/>
              </w:rPr>
              <w:t>五类自动归因，宏 F1 = 0.8273[v2]（逐类阈值）</w:t>
            </w:r>
          </w:p>
        </w:tc>
        <w:tc>
          <w:tcPr>
            <w:tcW w:type="dxa" w:w="2160"/>
          </w:tcPr>
          <w:p>
            <w:r/>
            <w:r>
              <w:rPr>
                <w:sz w:val="18"/>
              </w:rPr>
              <w:t>从无到有</w:t>
            </w:r>
          </w:p>
        </w:tc>
      </w:tr>
      <w:tr>
        <w:tc>
          <w:tcPr>
            <w:tcW w:type="dxa" w:w="2160"/>
          </w:tcPr>
          <w:p>
            <w:r/>
            <w:r>
              <w:rPr>
                <w:sz w:val="18"/>
              </w:rPr>
              <w:t>结论可执行性</w:t>
            </w:r>
          </w:p>
        </w:tc>
        <w:tc>
          <w:tcPr>
            <w:tcW w:type="dxa" w:w="2160"/>
          </w:tcPr>
          <w:p>
            <w:r/>
            <w:r>
              <w:rPr>
                <w:sz w:val="18"/>
              </w:rPr>
              <w:t>人工经验判断</w:t>
            </w:r>
          </w:p>
        </w:tc>
        <w:tc>
          <w:tcPr>
            <w:tcW w:type="dxa" w:w="2160"/>
          </w:tcPr>
          <w:p>
            <w:r/>
            <w:r>
              <w:rPr>
                <w:sz w:val="18"/>
              </w:rPr>
              <w:t>每条结论带置信度档位与建议动作（高／中／低三档）</w:t>
            </w:r>
          </w:p>
        </w:tc>
        <w:tc>
          <w:tcPr>
            <w:tcW w:type="dxa" w:w="2160"/>
          </w:tcPr>
          <w:p>
            <w:r/>
            <w:r>
              <w:rPr>
                <w:sz w:val="18"/>
              </w:rPr>
              <w:t>可直接进入整改评审</w:t>
            </w:r>
          </w:p>
        </w:tc>
      </w:tr>
    </w:tbl>
    <w:p>
      <w:r>
        <w:t>注：性能指标在 v2 留出集（val_v3_test，n=10,000、正例 128）上测得，与 v1 复赛数字（val_v2）样本集不同、不可直比；v1 值见附录 C。</w:t>
      </w:r>
    </w:p>
    <w:p w14:paraId="7CDC0FE8"/>
    <w:p w14:paraId="621B8053">
      <w:r>
        <w:rPr>
          <w:rFonts w:hint="eastAsia"/>
        </w:rPr>
        <w:t>3.4 市场前景与落地可行性</w:t>
      </w:r>
    </w:p>
    <w:p>
      <w:r>
        <w:t>市场规模：全球耳机市场约 280 亿美元（Statista 2025，二手来源，引用请注明）；亚马逊耳机类目年评论量超 5,000 万条。</w:t>
      </w:r>
    </w:p>
    <w:p>
      <w:r>
        <w:t>目标用户结构：中小卖家占比约 70%，其中约 90% 无专职数据分析师（同上，二手来源）。</w:t>
      </w:r>
    </w:p>
    <w:p>
      <w:r>
        <w:t>品类可迁移性：RLCA 标注框架 + DistilBERT 微调流程可迁移至美妆（肤感）、食品（口味）等品类；迁移成本可量化，见附录 F。</w:t>
      </w:r>
    </w:p>
    <w:p>
      <w:r>
        <w:t>商业模式：开源版（社区）→ SaaS 版（订阅）→ 企业版（私有化部署，数据不出境）。</w:t>
      </w:r>
    </w:p>
    <w:p w14:paraId="4EB2BE33"/>
    <w:p w14:paraId="2D76DB01">
      <w:pPr>
        <w:pStyle w:val="3"/>
      </w:pPr>
      <w:r>
        <w:rPr>
          <w:rFonts w:hint="eastAsia"/>
        </w:rPr>
        <w:t>四、产品功能与使用说明</w:t>
      </w:r>
    </w:p>
    <w:p w14:paraId="3FF79D75">
      <w:r>
        <w:rPr>
          <w:rFonts w:hint="eastAsia" w:ascii="Times New Roman" w:hAnsi="Times New Roman" w:eastAsia="黑体"/>
          <w:b/>
          <w:sz w:val="24"/>
        </w:rPr>
        <w:t>4.1 产品简介</w:t>
      </w:r>
    </w:p>
    <w:p>
      <w:r>
        <w:t>SoundInsight 是一款面向跨境电商耳机卖家的音质差评智能归因系统，自动识别评论中的音质负面反馈，并归因到低音、清晰度、杂音、音量、高音五类问题，输出可执行的洞察报告。</w:t>
      </w:r>
    </w:p>
    <w:p>
      <w:r>
        <w:t>差异化定位：与退货根因分析类工具不同，本系统做的是文本内的细粒度归因——把主观听感映射到可复算的问题类别与型号分布上，并把每一步数字做成可审计的证据链（见第六节与附录）。</w:t>
      </w:r>
    </w:p>
    <w:p w14:paraId="1F2506C0"/>
    <w:p w14:paraId="23D2B069">
      <w:r>
        <w:rPr>
          <w:rFonts w:hint="eastAsia" w:ascii="Times New Roman" w:hAnsi="Times New Roman" w:eastAsia="黑体"/>
          <w:b/>
          <w:sz w:val="24"/>
        </w:rPr>
        <w:t>4.2 核心功能清单</w:t>
      </w:r>
    </w:p>
    <w:p>
      <w:r>
        <w:t>1）单条评论判定：输入评论文本，输出音质负面概率与五类问题类别；</w:t>
      </w:r>
    </w:p>
    <w:p>
      <w:r>
        <w:t>2）批量 CSV 分析：上传评论文件，输出六节完整报告（总体概况／问题分布含占比与优先级／典型案例附五类归因概率／行动建议／验证指标／置信度档位与建议动作），可下载报告文件；</w:t>
      </w:r>
    </w:p>
    <w:p>
      <w:r>
        <w:t>3）一键洞察 Agent：python soundinsight_agent.py --csv 文件.csv，与 Demo 共用同一报告模块（report_builder.py），口径完全一致，支持 Markdown／Excel 与中英双语；</w:t>
      </w:r>
    </w:p>
    <w:p>
      <w:r>
        <w:t>4）型号级聚合与趋势预警（v2 新增）：按 parent_asin 汇总差评率 Top-N（样本量门槛 ≥10 条），按月度追踪波动并给出告警阈值。</w:t>
      </w:r>
    </w:p>
    <w:p w14:paraId="640D1488">
      <w:r>
        <w:rPr>
          <w:rFonts w:hint="eastAsia" w:ascii="Times New Roman" w:hAnsi="Times New Roman" w:eastAsia="黑体"/>
          <w:b/>
          <w:sz w:val="24"/>
        </w:rPr>
        <w:t>4.3 使用说明</w:t>
      </w:r>
    </w:p>
    <w:p>
      <w:r>
        <w:t>安装：pip install -r requirements.txt；启动 Demo：python demo_sound_v2.py；启动 Agent：python soundinsight_agent.py --csv test.csv；HTTP API：uvicorn api_server:app（GET /health、POST /predict）。</w:t>
      </w:r>
    </w:p>
    <w:p>
      <w:r>
        <w:t>在线 Demo：ModelScope 创空间 https://modelscope.cn/studios/DaiYanQBZ95Doll/SoundInsight（应用直链 https://daiyanqbz95doll-soundinsight.ms.show）。</w:t>
      </w:r>
    </w:p>
    <w:p>
      <w:r>
        <w:t>截图：单条判定页、批量分析页、Agent 报告页（各 1 张，见附件其他材料）。</w:t>
      </w:r>
    </w:p>
    <w:p w14:paraId="6CC079CF"/>
    <w:p w14:paraId="36C71A85">
      <w:r>
        <w:t>————————————————————————————————————————</w:t>
      </w:r>
    </w:p>
    <w:p w14:paraId="67FD152A">
      <w:pPr>
        <w:pStyle w:val="3"/>
      </w:pPr>
      <w:r>
        <w:rPr>
          <w:rFonts w:hint="eastAsia"/>
        </w:rPr>
        <w:t>五、技术架构及调用模型说明</w:t>
      </w:r>
    </w:p>
    <w:p w14:paraId="139BAF1E">
      <w:r>
        <w:rPr>
          <w:rFonts w:hint="eastAsia" w:ascii="Times New Roman" w:hAnsi="Times New Roman" w:eastAsia="黑体"/>
          <w:b/>
          <w:sz w:val="24"/>
        </w:rPr>
        <w:t>5.1 系统架构图</w:t>
      </w:r>
    </w:p>
    <w:p>
      <w:r>
        <w:t>见 architecture.png。文字链路：</w:t>
      </w:r>
    </w:p>
    <w:p>
      <w:r>
        <w:t>[Amazon 评论数据 10 万条] → [RLCA 两阶段标注] → [DistilBERT 二分类 + 五类多标签归因] → [Agent 报告／Gradio Demo／HTTP API]。</w:t>
      </w:r>
    </w:p>
    <w:p>
      <w:r>
        <w:t>标注层：关键词规则初筛 → LLM 逐条复核去伪 → 三星／四五星补漏复核；模型层：1:10 欠采样、阈值扫描、5 折交叉验证；评测层：tune/test 分离（阈值只在调参划分上选）、长度分桶、校准评估、统计检验。</w:t>
      </w:r>
    </w:p>
    <w:p w14:paraId="6C0A6E70"/>
    <w:p w14:paraId="15932490">
      <w:r>
        <w:rPr>
          <w:rFonts w:hint="eastAsia" w:ascii="Times New Roman" w:hAnsi="Times New Roman" w:eastAsia="黑体"/>
          <w:b/>
          <w:sz w:val="24"/>
        </w:rPr>
        <w:t>5.2 调用的阿里云百炼模型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A6766DD">
        <w:tc>
          <w:tcPr>
            <w:tcW w:w="2880" w:type="dxa"/>
          </w:tcPr>
          <w:p w14:paraId="5738C949">
            <w:pPr>
              <w:spacing w:after="0" w:line="240" w:lineRule="auto"/>
            </w:pPr>
            <w:r>
              <w:rPr>
                <w:rFonts w:hint="eastAsia" w:ascii="Times New Roman" w:hAnsi="Times New Roman" w:eastAsia="宋体"/>
                <w:b/>
                <w:sz w:val="21"/>
              </w:rPr>
              <w:t>模型标识</w:t>
            </w:r>
          </w:p>
        </w:tc>
        <w:tc>
          <w:tcPr>
            <w:tcW w:w="2880" w:type="dxa"/>
          </w:tcPr>
          <w:p w14:paraId="12C39BD8">
            <w:pPr>
              <w:spacing w:after="0" w:line="240" w:lineRule="auto"/>
            </w:pPr>
            <w:r>
              <w:rPr>
                <w:rFonts w:hint="eastAsia" w:ascii="Times New Roman" w:hAnsi="Times New Roman" w:eastAsia="宋体"/>
                <w:b/>
                <w:sz w:val="21"/>
              </w:rPr>
              <w:t>用途</w:t>
            </w:r>
          </w:p>
        </w:tc>
        <w:tc>
          <w:tcPr>
            <w:tcW w:w="2880" w:type="dxa"/>
          </w:tcPr>
          <w:p w14:paraId="58544FCE">
            <w:pPr>
              <w:spacing w:after="0" w:line="240" w:lineRule="auto"/>
            </w:pPr>
            <w:r>
              <w:rPr>
                <w:rFonts w:hint="eastAsia" w:ascii="Times New Roman" w:hAnsi="Times New Roman" w:eastAsia="宋体"/>
                <w:b/>
                <w:sz w:val="21"/>
              </w:rPr>
              <w:t>调用方式/链接链</w:t>
            </w:r>
          </w:p>
        </w:tc>
      </w:tr>
      <w:tr w14:paraId="11FDC30F">
        <w:tc>
          <w:tcPr>
            <w:tcW w:w="2880" w:type="dxa"/>
          </w:tcPr>
          <w:p>
            <w:r/>
            <w:r>
              <w:t>qwen3.7-plus</w:t>
            </w:r>
          </w:p>
        </w:tc>
        <w:tc>
          <w:tcPr>
            <w:tcW w:w="2880" w:type="dxa"/>
          </w:tcPr>
          <w:p>
            <w:r/>
            <w:r>
              <w:t>跨 LLM 稳健性对照实验（零样本／5-shot／复核；评审用途，非产品推理）</w:t>
            </w:r>
          </w:p>
        </w:tc>
        <w:tc>
          <w:tcPr>
            <w:tcW w:w="2880" w:type="dxa"/>
          </w:tcPr>
          <w:p>
            <w:r/>
            <w:r>
              <w:t>阿里云百炼 Token Plan API（OpenAI 兼容基地址 https://token-plan.cn-beijing.maas.aliyuncs.com/compatible-mode/v1）</w:t>
            </w:r>
          </w:p>
        </w:tc>
      </w:tr>
      <w:tr w14:paraId="6CA8C220">
        <w:tc>
          <w:tcPr>
            <w:tcW w:w="2880" w:type="dxa"/>
          </w:tcPr>
          <w:p>
            <w:r/>
            <w:r>
              <w:t>deepseek-chat</w:t>
            </w:r>
          </w:p>
        </w:tc>
        <w:tc>
          <w:tcPr>
            <w:tcW w:w="2880" w:type="dxa"/>
          </w:tcPr>
          <w:p>
            <w:r/>
            <w:r>
              <w:t>RLCA 标注复核 + 跨 LLM 对照实验</w:t>
            </w:r>
          </w:p>
        </w:tc>
        <w:tc>
          <w:tcPr>
            <w:tcW w:w="2880" w:type="dxa"/>
          </w:tcPr>
          <w:p>
            <w:r/>
            <w:r>
              <w:t>DeepSeek 官方 API（https://api.deepseek.com/v1/chat/completions）</w:t>
            </w:r>
          </w:p>
        </w:tc>
      </w:tr>
      <w:tr w14:paraId="752CEC1E">
        <w:tc>
          <w:tcPr>
            <w:tcW w:w="2880" w:type="dxa"/>
          </w:tcPr>
          <w:p w14:paraId="2809FF00">
            <w:pPr>
              <w:spacing w:after="0" w:line="240" w:lineRule="auto"/>
            </w:pPr>
          </w:p>
        </w:tc>
        <w:tc>
          <w:tcPr>
            <w:tcW w:w="2880" w:type="dxa"/>
          </w:tcPr>
          <w:p w14:paraId="07CEB5F4">
            <w:pPr>
              <w:spacing w:after="0" w:line="240" w:lineRule="auto"/>
            </w:pPr>
          </w:p>
        </w:tc>
        <w:tc>
          <w:tcPr>
            <w:tcW w:w="2880" w:type="dxa"/>
          </w:tcPr>
          <w:p w14:paraId="25E8C24C">
            <w:pPr>
              <w:spacing w:after="0" w:line="240" w:lineRule="auto"/>
            </w:pPr>
          </w:p>
        </w:tc>
      </w:tr>
    </w:tbl>
    <w:p w14:paraId="725C091A"/>
    <w:p w14:paraId="3BE4973C">
      <w:r>
        <w:rPr>
          <w:rFonts w:hint="eastAsia" w:ascii="Times New Roman" w:hAnsi="Times New Roman" w:eastAsia="黑体"/>
          <w:b/>
          <w:sz w:val="24"/>
        </w:rPr>
        <w:t>5.3 技术组件说明</w:t>
      </w:r>
    </w:p>
    <w:p>
      <w:r>
        <w:t>前端：Gradio（单条判定／批量分析／边界案例三页）；后端：Python + PyTorch + Transformers；</w:t>
      </w:r>
    </w:p>
    <w:p>
      <w:r>
        <w:t>模型：DistilBERT-base-uncased（66M 参数；权重托管于 ModelScope，见附录 A）；</w:t>
      </w:r>
    </w:p>
    <w:p>
      <w:r>
        <w:t>数据：McAuley Lab Amazon Reviews 2023（AmazonElectronics 类目，10 万条评论）；</w:t>
      </w:r>
    </w:p>
    <w:p>
      <w:r>
        <w:t>标注：RLCA 两阶段流水线（规则初筛 + LLM 全量复核）；</w:t>
      </w:r>
    </w:p>
    <w:p>
      <w:r>
        <w:t>部署：本地 GPU 推理（RTX 4060）与在线 CPU 空间双形态，一键启动；</w:t>
      </w:r>
    </w:p>
    <w:p>
      <w:r>
        <w:t>评测与审计：check_doc_numbers.py 数字审计（186 项检查／0 FAIL）、scan_repo_hygiene.py 仓库卫生扫描（密钥 0）、test_audit_checks.py 负向自测（15 项）。</w:t>
      </w:r>
    </w:p>
    <w:p w14:paraId="40B675EE"/>
    <w:p w14:paraId="75F9A8E5">
      <w:r>
        <w:t>————————————————————————————————————————</w:t>
      </w:r>
    </w:p>
    <w:p w14:paraId="6235A69F">
      <w:pPr>
        <w:pStyle w:val="3"/>
      </w:pPr>
      <w:r>
        <w:rPr>
          <w:rFonts w:hint="eastAsia"/>
        </w:rPr>
        <w:t>六、项目开发及阶段成果说明</w:t>
      </w:r>
    </w:p>
    <w:p>
      <w:r>
        <w:t>开发过程（D1–D12 + 决赛阶段）：</w:t>
      </w:r>
    </w:p>
    <w:p>
      <w:r>
        <w:t>D1 数据扩充（10 万条）、两阶段标注（1,257 正例）、模型训练、基线对比、Agent/Demo 初版，技术底座冻结；</w:t>
      </w:r>
    </w:p>
    <w:p>
      <w:r>
        <w:t>D2 消融实验（3 组）、统计验证（学习曲线／PR 曲线／t 检验）、数据提纯（置信度分层、高音补捞）；</w:t>
      </w:r>
    </w:p>
    <w:p>
      <w:r>
        <w:t>D3 技术修复与材料整合（清理无出处表述、审计脚本上线）、复赛文档完成；</w:t>
      </w:r>
    </w:p>
    <w:p>
      <w:r>
        <w:t>D4–D5 提交材料收尾；D6–D8 验证深化与工程补强（LLM 跨模型对照、长度分桶、校准评估、错误分类学、HTTP API、吞吐实测、模型卡、合规披露、漂移监控方案）；D9–D10 在线部署与自动验收；D11–D12 复盘与格式对照；</w:t>
      </w:r>
    </w:p>
    <w:p>
      <w:r>
        <w:t>决赛阶段：披露阈值选择偏差、重建无泄漏评测划分（tune/test 分离）、多标签逐类阈值重选、概率校准、字段恢复解锁型号级与鲁棒性分析、失败案例附录、全链路审计与仓库卫生门槛。</w:t>
      </w:r>
    </w:p>
    <w:p>
      <w:r>
        <w:t>阶段成果指标表（v2；均为 val_v3_test 上、阈值取自 val_v3_tune）：</w:t>
      </w:r>
    </w:p>
    <w:tbl>
      <w:tblPr>
        <w:tblStyle w:val="33"/>
        <w:tblW w:type="auto" w:w="0"/>
        <w:tblLook w:firstColumn="1" w:firstRow="1" w:lastColumn="0" w:lastRow="0" w:noHBand="0" w:noVBand="1" w:val="04A0"/>
      </w:tblPr>
      <w:tblGrid>
        <w:gridCol w:w="2880"/>
        <w:gridCol w:w="2880"/>
        <w:gridCol w:w="2880"/>
      </w:tblGrid>
      <w:tr>
        <w:tc>
          <w:tcPr>
            <w:tcW w:type="dxa" w:w="2880"/>
          </w:tcPr>
          <w:p>
            <w:r/>
            <w:r>
              <w:rPr>
                <w:b/>
                <w:sz w:val="18"/>
              </w:rPr>
              <w:t>项目</w:t>
            </w:r>
          </w:p>
        </w:tc>
        <w:tc>
          <w:tcPr>
            <w:tcW w:type="dxa" w:w="2880"/>
          </w:tcPr>
          <w:p>
            <w:r/>
            <w:r>
              <w:rPr>
                <w:b/>
                <w:sz w:val="18"/>
              </w:rPr>
              <w:t>结果</w:t>
            </w:r>
          </w:p>
        </w:tc>
        <w:tc>
          <w:tcPr>
            <w:tcW w:type="dxa" w:w="2880"/>
          </w:tcPr>
          <w:p>
            <w:r/>
            <w:r>
              <w:rPr>
                <w:b/>
                <w:sz w:val="18"/>
              </w:rPr>
              <w:t>说明</w:t>
            </w:r>
          </w:p>
        </w:tc>
      </w:tr>
      <w:tr>
        <w:tc>
          <w:tcPr>
            <w:tcW w:type="dxa" w:w="2880"/>
          </w:tcPr>
          <w:p>
            <w:r/>
            <w:r>
              <w:rPr>
                <w:sz w:val="18"/>
              </w:rPr>
              <w:t>二分类主指标</w:t>
            </w:r>
          </w:p>
        </w:tc>
        <w:tc>
          <w:tcPr>
            <w:tcW w:type="dxa" w:w="2880"/>
          </w:tcPr>
          <w:p>
            <w:r/>
            <w:r>
              <w:rPr>
                <w:sz w:val="18"/>
              </w:rPr>
              <w:t>F1@调优(0.6) = 0.7220；PR-AUC = 0.7811</w:t>
            </w:r>
          </w:p>
        </w:tc>
        <w:tc>
          <w:tcPr>
            <w:tcW w:type="dxa" w:w="2880"/>
          </w:tcPr>
          <w:p>
            <w:r/>
            <w:r>
              <w:rPr>
                <w:sz w:val="18"/>
              </w:rPr>
              <w:t>通过采纳闸门第 (1) 条（≥0.72 或 ≥0.75）</w:t>
            </w:r>
          </w:p>
        </w:tc>
      </w:tr>
      <w:tr>
        <w:tc>
          <w:tcPr>
            <w:tcW w:type="dxa" w:w="2880"/>
          </w:tcPr>
          <w:p>
            <w:r/>
            <w:r>
              <w:rPr>
                <w:sz w:val="18"/>
              </w:rPr>
              <w:t>高召回档</w:t>
            </w:r>
          </w:p>
        </w:tc>
        <w:tc>
          <w:tcPr>
            <w:tcW w:type="dxa" w:w="2880"/>
          </w:tcPr>
          <w:p>
            <w:r/>
            <w:r>
              <w:rPr>
                <w:sz w:val="18"/>
              </w:rPr>
              <w:t>F1@0.5 = 0.7206</w:t>
            </w:r>
          </w:p>
        </w:tc>
        <w:tc>
          <w:tcPr>
            <w:tcW w:type="dxa" w:w="2880"/>
          </w:tcPr>
          <w:p>
            <w:r/>
            <w:r>
              <w:rPr>
                <w:sz w:val="18"/>
              </w:rPr>
              <w:t>供不同业务取舍</w:t>
            </w:r>
          </w:p>
        </w:tc>
      </w:tr>
      <w:tr>
        <w:tc>
          <w:tcPr>
            <w:tcW w:type="dxa" w:w="2880"/>
          </w:tcPr>
          <w:p>
            <w:r/>
            <w:r>
              <w:rPr>
                <w:sz w:val="18"/>
              </w:rPr>
              <w:t>五类归因</w:t>
            </w:r>
          </w:p>
        </w:tc>
        <w:tc>
          <w:tcPr>
            <w:tcW w:type="dxa" w:w="2880"/>
          </w:tcPr>
          <w:p>
            <w:r/>
            <w:r>
              <w:rPr>
                <w:sz w:val="18"/>
              </w:rPr>
              <w:t>宏 F1 = 0.8273；高音类 F1 = 0.5333</w:t>
            </w:r>
          </w:p>
        </w:tc>
        <w:tc>
          <w:tcPr>
            <w:tcW w:type="dxa" w:w="2880"/>
          </w:tcPr>
          <w:p>
            <w:r/>
            <w:r>
              <w:rPr>
                <w:sz w:val="18"/>
              </w:rPr>
              <w:t>逐类阈值；评估范围为音质差评正例</w:t>
            </w:r>
          </w:p>
        </w:tc>
      </w:tr>
      <w:tr>
        <w:tc>
          <w:tcPr>
            <w:tcW w:type="dxa" w:w="2880"/>
          </w:tcPr>
          <w:p>
            <w:r/>
            <w:r>
              <w:rPr>
                <w:sz w:val="18"/>
              </w:rPr>
              <w:t>概率校准</w:t>
            </w:r>
          </w:p>
        </w:tc>
        <w:tc>
          <w:tcPr>
            <w:tcW w:type="dxa" w:w="2880"/>
          </w:tcPr>
          <w:p>
            <w:r/>
            <w:r>
              <w:rPr>
                <w:sz w:val="18"/>
              </w:rPr>
              <w:t>决策区间（≥0.9）偏差 −0.172 → −0.060；抗稀释 ECE 0.222 → 0.117</w:t>
            </w:r>
          </w:p>
        </w:tc>
        <w:tc>
          <w:tcPr>
            <w:tcW w:type="dxa" w:w="2880"/>
          </w:tcPr>
          <w:p>
            <w:r/>
            <w:r>
              <w:rPr>
                <w:sz w:val="18"/>
              </w:rPr>
              <w:t>温度缩放，只在调参划分上拟合</w:t>
            </w:r>
          </w:p>
        </w:tc>
      </w:tr>
      <w:tr>
        <w:tc>
          <w:tcPr>
            <w:tcW w:type="dxa" w:w="2880"/>
          </w:tcPr>
          <w:p>
            <w:r/>
            <w:r>
              <w:rPr>
                <w:sz w:val="18"/>
              </w:rPr>
              <w:t>交叉验证（5 折）</w:t>
            </w:r>
          </w:p>
        </w:tc>
        <w:tc>
          <w:tcPr>
            <w:tcW w:type="dxa" w:w="2880"/>
          </w:tcPr>
          <w:p>
            <w:r/>
            <w:r>
              <w:rPr>
                <w:sz w:val="18"/>
              </w:rPr>
              <w:t>**无偏口径（固定阈值、不在折内做任何选择）0.6584 ± 0.0378[v2]（波动 5.7%）**；对照口径（折内选阈值）0.7086 ± 0.0304[v2]（4.3%）</w:t>
            </w:r>
          </w:p>
        </w:tc>
        <w:tc>
          <w:tcPr>
            <w:tcW w:type="dxa" w:w="2880"/>
          </w:tcPr>
          <w:p>
            <w:r/>
            <w:r>
              <w:rPr>
                <w:sz w:val="18"/>
              </w:rPr>
              <w:t>v1 记录的 3.9%`[v1]` 属**折内选阈值**口径（乐观且压低方差）；无偏口径暴露了阈值迁移带来的跨折波动——产品含义：阈值应随数据分布定期重标</w:t>
            </w:r>
          </w:p>
        </w:tc>
      </w:tr>
      <w:tr>
        <w:tc>
          <w:tcPr>
            <w:tcW w:type="dxa" w:w="2880"/>
          </w:tcPr>
          <w:p>
            <w:r/>
            <w:r>
              <w:rPr>
                <w:sz w:val="18"/>
              </w:rPr>
              <w:t>鲁棒性</w:t>
            </w:r>
          </w:p>
        </w:tc>
        <w:tc>
          <w:tcPr>
            <w:tcW w:type="dxa" w:w="2880"/>
          </w:tcPr>
          <w:p>
            <w:r/>
            <w:r>
              <w:rPr>
                <w:sz w:val="18"/>
              </w:rPr>
              <w:t>仅保留已验证购买：F1@调优 0.6871[v1] → 0.7034（v2 分析，仍为 v1 模型权重）；同用户去重后差评率 1.28% → 1.28%</w:t>
            </w:r>
          </w:p>
        </w:tc>
        <w:tc>
          <w:tcPr>
            <w:tcW w:type="dxa" w:w="2880"/>
          </w:tcPr>
          <w:p>
            <w:r/>
            <w:r>
              <w:rPr>
                <w:sz w:val="18"/>
              </w:rPr>
              <w:t>详见附录 E</w:t>
            </w:r>
          </w:p>
        </w:tc>
      </w:tr>
      <w:tr>
        <w:tc>
          <w:tcPr>
            <w:tcW w:type="dxa" w:w="2880"/>
          </w:tcPr>
          <w:p>
            <w:r/>
            <w:r>
              <w:rPr>
                <w:sz w:val="18"/>
              </w:rPr>
              <w:t>长文本</w:t>
            </w:r>
          </w:p>
        </w:tc>
        <w:tc>
          <w:tcPr>
            <w:tcW w:type="dxa" w:w="2880"/>
          </w:tcPr>
          <w:p>
            <w:r/>
            <w:r>
              <w:rPr>
                <w:sz w:val="18"/>
              </w:rPr>
              <w:t>&gt;128 token 桶召回 51.2%（截断）→ 82.9%（切窗），整体 F1 降至 0.60；约束式分档阈值下达 68.3%</w:t>
            </w:r>
          </w:p>
        </w:tc>
        <w:tc>
          <w:tcPr>
            <w:tcW w:type="dxa" w:w="2880"/>
          </w:tcPr>
          <w:p>
            <w:r/>
            <w:r>
              <w:rPr>
                <w:sz w:val="18"/>
              </w:rPr>
              <w:t>未达 70% 验收线，已如实记录</w:t>
            </w:r>
          </w:p>
        </w:tc>
      </w:tr>
      <w:tr>
        <w:tc>
          <w:tcPr>
            <w:tcW w:type="dxa" w:w="2880"/>
          </w:tcPr>
          <w:p>
            <w:r/>
            <w:r>
              <w:rPr>
                <w:sz w:val="18"/>
              </w:rPr>
              <w:t>型号级</w:t>
            </w:r>
          </w:p>
        </w:tc>
        <w:tc>
          <w:tcPr>
            <w:tcW w:type="dxa" w:w="2880"/>
          </w:tcPr>
          <w:p>
            <w:r/>
            <w:r>
              <w:rPr>
                <w:sz w:val="18"/>
              </w:rPr>
              <w:t>711 个型号达 ≥10 条门槛；Top-20 差评率 14.3%–30.0%（全局 1.28%）</w:t>
            </w:r>
          </w:p>
        </w:tc>
        <w:tc>
          <w:tcPr>
            <w:tcW w:type="dxa" w:w="2880"/>
          </w:tcPr>
          <w:p>
            <w:r/>
            <w:r>
              <w:rPr>
                <w:sz w:val="18"/>
              </w:rPr>
              <w:t>v2 新增能力</w:t>
            </w:r>
          </w:p>
        </w:tc>
      </w:tr>
      <w:tr>
        <w:tc>
          <w:tcPr>
            <w:tcW w:type="dxa" w:w="2880"/>
          </w:tcPr>
          <w:p>
            <w:r/>
            <w:r>
              <w:rPr>
                <w:sz w:val="18"/>
              </w:rPr>
              <w:t>星级分层</w:t>
            </w:r>
          </w:p>
        </w:tc>
        <w:tc>
          <w:tcPr>
            <w:tcW w:type="dxa" w:w="2880"/>
          </w:tcPr>
          <w:p>
            <w:r/>
            <w:r>
              <w:rPr>
                <w:sz w:val="18"/>
              </w:rPr>
              <w:t>差评率 1★ 5.43%／2★ 7.97%／3★ 6.60%／4★ 0.13%／5★ 0.02%</w:t>
            </w:r>
          </w:p>
        </w:tc>
        <w:tc>
          <w:tcPr>
            <w:tcW w:type="dxa" w:w="2880"/>
          </w:tcPr>
          <w:p>
            <w:r/>
            <w:r>
              <w:rPr>
                <w:sz w:val="18"/>
              </w:rPr>
              <w:t>音质差评密度在 2★ 最高</w:t>
            </w:r>
          </w:p>
        </w:tc>
      </w:tr>
    </w:tbl>
    <w:p>
      <w:r>
        <w:t>已完成工程能力：一键安装脚本、模型卡（v2）、权重托管、在线创空间自动验收、HTTP API、审计工具链（186 项检查／0 FAIL）、仓库卫生扫描、负向自测（15 项）、预提交守卫。</w:t>
      </w:r>
    </w:p>
    <w:p>
      <w:r>
        <w:t>核心发现：① 三星评论 41.5% 实为音质差评（规则漏检）；② RLCA 两阶段标注把可用正例从 63 条扩至 1,280 条（当前口径），弱标注精度 51.8% 经复核清洗至人工抽查 78%；③ 最优阈值由 0.0009 跃升至 0.97 量级，判别信心质变；④ 长文本漏检主因不是截断，而是子片段信号被整篇平均（决赛阶段实测）；⑤ 评测划分若在标签集重建后沿用旧集合，会产生记忆型虚高（实测 0.9126 → 修正后 0.7206，见附录 C）；⑥ **交叉验证的波动取决于口径**：折内选阈值（v1 口径）报 3.9%，无偏的固定阈值口径报 5.7%——同一模型、同一数据，差别全部来自「阈值是否在同折内选取」。</w:t>
      </w:r>
    </w:p>
    <w:p>
      <w:r>
        <w:t>核心挑战与解决方案：正样本稀缺（13 条）→ RLCA 两阶段标注；类别不平衡（1.3%）→ 1:10 欠采样 + 阈值扫描；委婉表达漏检 → LLM 复核三星评论（补漏 479 条）；GPU 显存受限（8GB）→ 选用 DistilBERT；高音样本不足 → 关键词补捞 + LLM 复核（确认 124 条高音正例）；阈值选择偏差 → v2 起 tune/test 分离并写入机械检查。</w:t>
      </w:r>
    </w:p>
    <w:p>
      <w:r>
        <w:t>后续迭代计划：时序趋势与批次预警、跨品类迁移实证、多语言适配（XLM-R 基座）、长文本切片级打分与学习式聚合、在线持续学习机制。</w:t>
      </w:r>
    </w:p>
    <w:p w14:paraId="320F212C"/>
    <w:p w14:paraId="1BDB3773">
      <w:r>
        <w:t>————————————————————————————————————————</w:t>
      </w:r>
    </w:p>
    <w:p w14:paraId="03627565">
      <w:pPr>
        <w:pStyle w:val="3"/>
      </w:pPr>
      <w:r>
        <w:rPr>
          <w:rFonts w:hint="eastAsia"/>
        </w:rPr>
        <w:t>七、提交物清单（勾选确认）</w:t>
      </w:r>
    </w:p>
    <w:p w14:paraId="6C37ADBC">
      <w:r>
        <w:rPr>
          <w:rFonts w:hint="eastAsia" w:ascii="Times New Roman" w:hAnsi="Times New Roman" w:eastAsia="宋体"/>
          <w:b w:val="0"/>
          <w:sz w:val="22"/>
        </w:rPr>
        <w:t>☑ 本模板（含基本信息 + 说明类内容，见第三/四/五部分）</w:t>
      </w:r>
    </w:p>
    <w:p w14:paraId="2C823AB6">
      <w:r>
        <w:rPr>
          <w:rFonts w:hint="eastAsia" w:ascii="Times New Roman" w:hAnsi="Times New Roman" w:eastAsia="宋体"/>
          <w:b w:val="0"/>
          <w:sz w:val="22"/>
        </w:rPr>
        <w:t>☑ 可运行的产品 Demo / 核心功能原型（附件：Demo 压缩包，命名见第七部分）</w:t>
      </w:r>
    </w:p>
    <w:p w14:paraId="6F8BDF7F">
      <w:r>
        <w:rPr>
          <w:rFonts w:hint="eastAsia" w:ascii="Times New Roman" w:hAnsi="Times New Roman" w:eastAsia="宋体"/>
          <w:b w:val="0"/>
          <w:sz w:val="22"/>
        </w:rPr>
        <w:t>☑ GitCode 代码仓库地址（可选，链接请填下表）</w:t>
      </w:r>
    </w:p>
    <w:p w14:paraId="2DB80AF3">
      <w:r>
        <w:rPr>
          <w:rFonts w:hint="eastAsia" w:ascii="Times New Roman" w:hAnsi="Times New Roman" w:eastAsia="宋体"/>
          <w:b w:val="0"/>
          <w:sz w:val="22"/>
        </w:rPr>
        <w:t>☑ 产品演示视频（附件：视频文件，建议 3-5 分钟，命名见第七部分）</w:t>
      </w:r>
    </w:p>
    <w:p w14:paraId="73BCC6AA">
      <w:pPr>
        <w:rPr>
          <w:rFonts w:ascii="Times New Roman" w:hAnsi="Times New Roman" w:eastAsia="宋体"/>
          <w:b w:val="0"/>
          <w:sz w:val="22"/>
        </w:rPr>
      </w:pPr>
      <w:r>
        <w:rPr>
          <w:rFonts w:hint="eastAsia" w:ascii="Times New Roman" w:hAnsi="Times New Roman" w:eastAsia="宋体"/>
          <w:b w:val="0"/>
          <w:sz w:val="22"/>
        </w:rPr>
        <w:t>在线链接填写表</w:t>
      </w:r>
    </w:p>
    <w:p w14:paraId="5510398B"/>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05"/>
        <w:gridCol w:w="4305"/>
      </w:tblGrid>
      <w:tr w14:paraId="5A40110A">
        <w:tc>
          <w:tcPr>
            <w:tcW w:w="4305" w:type="dxa"/>
          </w:tcPr>
          <w:p w14:paraId="337D686D">
            <w:pPr>
              <w:spacing w:after="0" w:line="240" w:lineRule="auto"/>
            </w:pPr>
            <w:r>
              <w:rPr>
                <w:rFonts w:hint="eastAsia"/>
              </w:rPr>
              <w:t>链接类型</w:t>
            </w:r>
          </w:p>
        </w:tc>
        <w:tc>
          <w:tcPr>
            <w:tcW w:w="4305" w:type="dxa"/>
          </w:tcPr>
          <w:p w14:paraId="192D31FF">
            <w:pPr>
              <w:spacing w:after="0" w:line="240" w:lineRule="auto"/>
            </w:pPr>
            <w:r>
              <w:rPr>
                <w:rFonts w:hint="eastAsia"/>
              </w:rPr>
              <w:t>链接地址</w:t>
            </w:r>
          </w:p>
        </w:tc>
      </w:tr>
      <w:tr w14:paraId="44CC65B6">
        <w:tc>
          <w:tcPr>
            <w:tcW w:w="4305" w:type="dxa"/>
          </w:tcPr>
          <w:p w14:paraId="1C35EF19">
            <w:pPr>
              <w:spacing w:after="0" w:line="240" w:lineRule="auto"/>
            </w:pPr>
            <w:r>
              <w:rPr>
                <w:rFonts w:hint="eastAsia"/>
              </w:rPr>
              <w:t>GitCode 代码仓库（可选）</w:t>
            </w:r>
          </w:p>
        </w:tc>
        <w:tc>
          <w:tcPr>
            <w:tcW w:w="4305" w:type="dxa"/>
          </w:tcPr>
          <w:p>
            <w:r/>
            <w:r>
              <w:t>https://gitcode.com/DaiYanQBZ95Doll/soundinsight</w:t>
            </w:r>
          </w:p>
        </w:tc>
      </w:tr>
      <w:tr w14:paraId="5B74F860">
        <w:tc>
          <w:tcPr>
            <w:tcW w:w="4305" w:type="dxa"/>
          </w:tcPr>
          <w:p w14:paraId="0604AB8E">
            <w:pPr>
              <w:spacing w:after="0" w:line="240" w:lineRule="auto"/>
            </w:pPr>
            <w:r>
              <w:rPr>
                <w:rFonts w:hint="eastAsia"/>
              </w:rPr>
              <w:t>线上 Demo 体验地址（如有）</w:t>
            </w:r>
          </w:p>
        </w:tc>
        <w:tc>
          <w:tcPr>
            <w:tcW w:w="4305" w:type="dxa"/>
          </w:tcPr>
          <w:p>
            <w:r/>
            <w:r>
              <w:t>https://modelscope.cn/studios/DaiYanQBZ95Doll/SoundInsight</w:t>
            </w:r>
          </w:p>
        </w:tc>
      </w:tr>
      <w:tr w14:paraId="433089D1">
        <w:tc>
          <w:tcPr>
            <w:tcW w:w="4305" w:type="dxa"/>
          </w:tcPr>
          <w:p w14:paraId="7F0C9343">
            <w:pPr>
              <w:spacing w:after="0" w:line="240" w:lineRule="auto"/>
            </w:pPr>
            <w:r>
              <w:rPr>
                <w:rFonts w:hint="eastAsia"/>
              </w:rPr>
              <w:t>产品演示视频链接（如提供线上版本）</w:t>
            </w:r>
          </w:p>
        </w:tc>
        <w:tc>
          <w:tcPr>
            <w:tcW w:w="4305" w:type="dxa"/>
          </w:tcPr>
          <w:p>
            <w:r/>
            <w:r>
              <w:t>随包提交（本地 mp4 文件）</w:t>
            </w:r>
          </w:p>
        </w:tc>
      </w:tr>
      <w:tr w14:paraId="6BE33B77">
        <w:tc>
          <w:tcPr>
            <w:tcW w:w="4305" w:type="dxa"/>
          </w:tcPr>
          <w:p w14:paraId="7520DA9A">
            <w:pPr>
              <w:spacing w:after="0" w:line="240" w:lineRule="auto"/>
            </w:pPr>
            <w:r>
              <w:rPr>
                <w:rFonts w:hint="eastAsia"/>
              </w:rPr>
              <w:t>测试账号 / 体验地址（如适用）</w:t>
            </w:r>
          </w:p>
        </w:tc>
        <w:tc>
          <w:tcPr>
            <w:tcW w:w="4305" w:type="dxa"/>
          </w:tcPr>
          <w:p>
            <w:r/>
            <w:r>
              <w:t>无需账号（在线 Demo 公开访问）</w:t>
            </w:r>
          </w:p>
        </w:tc>
      </w:tr>
    </w:tbl>
    <w:p w14:paraId="56A97BD8">
      <w:pPr>
        <w:rPr>
          <w:rFonts w:ascii="Times New Roman" w:hAnsi="Times New Roman" w:eastAsia="宋体"/>
          <w:b w:val="0"/>
          <w:sz w:val="22"/>
        </w:rPr>
      </w:pPr>
    </w:p>
    <w:p w14:paraId="75787BE3">
      <w:pPr>
        <w:rPr>
          <w:rFonts w:ascii="Times New Roman" w:hAnsi="Times New Roman" w:eastAsia="宋体"/>
          <w:b w:val="0"/>
          <w:sz w:val="22"/>
        </w:rPr>
      </w:pPr>
    </w:p>
    <w:p w14:paraId="2AA00ADD">
      <w:r>
        <w:t>————————————————————————————————————————</w:t>
      </w:r>
    </w:p>
    <w:p w14:paraId="03196972">
      <w:pPr>
        <w:pStyle w:val="3"/>
      </w:pPr>
      <w:r>
        <w:rPr>
          <w:rFonts w:hint="eastAsia"/>
        </w:rPr>
        <w:t>八、附件命名规范（zip 打包提交）</w:t>
      </w:r>
    </w:p>
    <w:p w14:paraId="4AC03CA6">
      <w:r>
        <w:rPr>
          <w:rFonts w:hint="eastAsia" w:ascii="Times New Roman" w:hAnsi="Times New Roman" w:eastAsia="宋体"/>
          <w:b w:val="0"/>
          <w:sz w:val="22"/>
        </w:rPr>
        <w:t>天池渠道仅支持提交一个 zip 文件，请将以下材料整理后打包（示例：团队名_方案名称_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2B2BAF78">
      <w:r>
        <w:rPr>
          <w:rFonts w:hint="eastAsia" w:ascii="Times New Roman" w:hAnsi="Times New Roman" w:eastAsia="宋体"/>
          <w:b w:val="0"/>
          <w:sz w:val="22"/>
        </w:rPr>
        <w:t>1. 主文档：团队名_方案名称_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作品.docx（或 .pdf）</w:t>
      </w:r>
    </w:p>
    <w:p w14:paraId="7E337DC2">
      <w:r>
        <w:rPr>
          <w:rFonts w:hint="eastAsia" w:ascii="Times New Roman" w:hAnsi="Times New Roman" w:eastAsia="宋体"/>
          <w:b w:val="0"/>
          <w:sz w:val="22"/>
        </w:rPr>
        <w:t>2. Demo 压缩包：团队名_方案名称_Demo.zip</w:t>
      </w:r>
    </w:p>
    <w:p w14:paraId="6B8D57B8">
      <w:r>
        <w:rPr>
          <w:rFonts w:hint="eastAsia" w:ascii="Times New Roman" w:hAnsi="Times New Roman" w:eastAsia="宋体"/>
          <w:b w:val="0"/>
          <w:sz w:val="22"/>
        </w:rPr>
        <w:t>3. 演示视频：团队名_方案名称_演示视频.mp4</w:t>
      </w:r>
    </w:p>
    <w:p w14:paraId="7AAF0C41">
      <w:r>
        <w:rPr>
          <w:rFonts w:hint="eastAsia" w:ascii="Times New Roman" w:hAnsi="Times New Roman" w:eastAsia="宋体"/>
          <w:b w:val="0"/>
          <w:sz w:val="22"/>
        </w:rPr>
        <w:t>4. 其他材料：团队名_方案名称_其他材料.zip（测试报告、用户反馈、补充架构图等）</w:t>
      </w:r>
    </w:p>
    <w:p w14:paraId="466F1D9A"/>
    <w:p w14:paraId="20FB3663">
      <w:r>
        <w:rPr>
          <w:rFonts w:hint="eastAsia" w:ascii="Times New Roman" w:hAnsi="Times New Roman" w:eastAsia="宋体"/>
          <w:b/>
          <w:color w:val="C81E1E"/>
          <w:sz w:val="22"/>
        </w:rPr>
        <w:t>⚠️ 注意：所有文件请放入同一个 zip 中提交，zip 命名统一为「团队名_方案名称_</w:t>
      </w:r>
      <w:r>
        <w:rPr>
          <w:rFonts w:hint="eastAsia" w:ascii="Times New Roman" w:hAnsi="Times New Roman" w:eastAsia="宋体"/>
          <w:b/>
          <w:color w:val="C81E1E"/>
          <w:sz w:val="22"/>
          <w:lang w:eastAsia="zh-CN"/>
        </w:rPr>
        <w:t>决赛入围定稿</w:t>
      </w:r>
      <w:r>
        <w:rPr>
          <w:rFonts w:hint="eastAsia" w:ascii="Times New Roman" w:hAnsi="Times New Roman" w:eastAsia="宋体"/>
          <w:b/>
          <w:color w:val="C81E1E"/>
          <w:sz w:val="22"/>
        </w:rPr>
        <w:t>作品.zip」。</w:t>
      </w:r>
    </w:p>
    <w:p w14:paraId="0D2C9DCF">
      <w:r>
        <w:t>————————————————————————————————————————</w:t>
      </w:r>
    </w:p>
    <w:p w14:paraId="391B5C5B">
      <w:pPr>
        <w:pStyle w:val="3"/>
      </w:pPr>
      <w:r>
        <w:rPr>
          <w:rFonts w:hint="eastAsia"/>
        </w:rPr>
        <w:t>九、注意事项</w:t>
      </w:r>
    </w:p>
    <w:p w14:paraId="02ACAC4B">
      <w:r>
        <w:rPr>
          <w:rFonts w:hint="eastAsia" w:ascii="Times New Roman" w:hAnsi="Times New Roman" w:eastAsia="宋体"/>
          <w:b w:val="0"/>
          <w:sz w:val="22"/>
        </w:rPr>
        <w:t>1. 所有材料打包为一个 zip 文件提交（天池渠道限制，zip 内可含子文件夹）。</w:t>
      </w:r>
    </w:p>
    <w:p w14:paraId="16A6B21D">
      <w:r>
        <w:rPr>
          <w:rFonts w:hint="eastAsia" w:ascii="Times New Roman" w:hAnsi="Times New Roman" w:eastAsia="宋体"/>
          <w:b w:val="0"/>
          <w:sz w:val="22"/>
        </w:rPr>
        <w:t>2. zip 内请按第七部分命名规范整理文件，便于评委查阅。</w:t>
      </w:r>
    </w:p>
    <w:p w14:paraId="12AD8F73">
      <w:r>
        <w:rPr>
          <w:rFonts w:hint="eastAsia" w:ascii="Times New Roman" w:hAnsi="Times New Roman" w:eastAsia="宋体"/>
          <w:b w:val="0"/>
          <w:sz w:val="22"/>
        </w:rPr>
        <w:t>3. 演示视频建议控制在 3-5 分钟，展示核心业务流程即可。</w:t>
      </w:r>
    </w:p>
    <w:p w14:paraId="6201C141">
      <w:r>
        <w:rPr>
          <w:rFonts w:hint="eastAsia" w:ascii="Times New Roman" w:hAnsi="Times New Roman" w:eastAsia="宋体"/>
          <w:b w:val="0"/>
          <w:sz w:val="22"/>
        </w:rPr>
        <w:t>4. 作品不一定需要达到正式商业产品标准，但需证明方案可实现、可使用、具有业务价值。</w:t>
      </w:r>
    </w:p>
    <w:p w14:paraId="671C2090">
      <w:r>
        <w:rPr>
          <w:rFonts w:hint="eastAsia" w:ascii="Times New Roman" w:hAnsi="Times New Roman" w:eastAsia="宋体"/>
          <w:b w:val="0"/>
          <w:sz w:val="22"/>
        </w:rPr>
        <w:t>5. 代码仓库不强制公开源码，可私有仓库+授权评审可见，或用 Demo+视频验证。</w:t>
      </w:r>
    </w:p>
    <w:p/>
    <w:p>
      <w:r>
        <w:rPr>
          <w:b/>
          <w:sz w:val="26"/>
        </w:rPr>
        <w:t>附录 A　数据许可与合规披露</w:t>
      </w:r>
    </w:p>
    <w:p>
      <w:r>
        <w:rPr>
          <w:b/>
          <w:sz w:val="26"/>
        </w:rPr>
        <w:t>模型调用与边界（唯一权威表述，与仓库 README 逐字一致，共三句）：</w:t>
      </w:r>
    </w:p>
    <w:p>
      <w:r>
        <w:t>1. 本项目产品推理 100% 本地、零第三方 API。</w:t>
      </w:r>
    </w:p>
    <w:p>
      <w:r>
        <w:t>2. 数据标注与复核环节调用 DeepSeek 官方 API（模型标识 deepseek-chat）。</w:t>
      </w:r>
    </w:p>
    <w:p>
      <w:r>
        <w:t>3. 另有 qwen3.7-plus（阿里云百炼 Token Plan API）仅供评审用途的跨 LLM 稳健性对照实验，不参与产品推理。</w:t>
      </w:r>
    </w:p>
    <w:p>
      <w:r>
        <w:t>1）数据版权：McAuley Lab Amazon Reviews 2023（AmazonElectronics 类目，10 万条评论）版权归原发布方（https://amazon-reviews-2023.github.io/）与原始评论作者所有；本项目仅用于学术研究与竞赛用途，商用前须自行确认许可条款。</w:t>
      </w:r>
    </w:p>
    <w:p>
      <w:r>
        <w:t>2）标注阶段的第三方 API 使用：仅规则初筛命中的候选评论（约 1,502 条）与三星补漏评论的文本经大模型 API（DeepSeek 官方 API，模型标识 deepseek-chat）复核标注，属标注管线内的数据加工并在此披露；另有 qwen3.7-plus（阿里云百炼 Token Plan API）仅用于评审用途的跨 LLM 稳健性对照实验，不参与产品推理。</w:t>
      </w:r>
    </w:p>
    <w:p>
      <w:r>
        <w:t>3）产品推理零外发：Demo、Agent 与 HTTP API 的推理 100% 在本地完成，卖家上传的评论数据不出境、不经过任何第三方 API。</w:t>
      </w:r>
    </w:p>
    <w:p>
      <w:r>
        <w:t>4）模型权重托管：v1 权重存放于 ModelScope DaiYanQBZ95Doll/SoundInsight_models（公开仓库）；v2 权重按 SHA256 与训练命令登记（v2/v2_artifacts.json），供第三方复算；两者均不含原始评论数据。</w:t>
      </w:r>
    </w:p>
    <w:p>
      <w:r>
        <w:t>5）隐私：用户标识字段仅用于聚合统计（去重与集中度），不输出单个用户标识，相关中间文件不入库。</w:t>
      </w:r>
    </w:p>
    <w:p/>
    <w:p>
      <w:r>
        <w:rPr>
          <w:b/>
          <w:sz w:val="26"/>
        </w:rPr>
        <w:t>附录 B　已知局限（如实披露）</w:t>
      </w:r>
    </w:p>
    <w:p>
      <w:r>
        <w:t>1）长文本：&gt;128 token 桶召回 51.2%（截断推理）～82.9%（切窗推理），该桶占数据 19.3%；在长档召回 ≥70% 的约束下实测 68.3%，未达该验收线——机制是子片段信号被整篇平均。</w:t>
      </w:r>
    </w:p>
    <w:p>
      <w:r>
        <w:t>2）高音类别：逐类阈值下 F1 0.5333（v1 为 0，属零触发）；该类**分类关键词**漏检率 72.6%（扩充词表后 54.0%），而**一阶筛选的入库漏检为 0.0%**——两套词表的区别见 `docs/w13_keyword_miss_rate.md`。仍为最弱类别。</w:t>
      </w:r>
    </w:p>
    <w:p>
      <w:r>
        <w:t>3）标注噪声：9.1%（Wilson 95% CI 5.6–14.5%，人工终审 15/16）；无第二标注者，无法计算 κ／α。</w:t>
      </w:r>
    </w:p>
    <w:p>
      <w:r>
        <w:t>4）共享教师偏差：训练与验证标签同源（均由同一 LLM 复核），无全人工金标准。</w:t>
      </w:r>
    </w:p>
    <w:p>
      <w:r>
        <w:t>5）真实用户验证：本轮未开展真实卖家试用（客观原因：无跨境电商渠道），产品价值主张目前由成本与吞吐的客观测算支撑，尚无真实卖家证言。</w:t>
      </w:r>
    </w:p>
    <w:p>
      <w:r>
        <w:t>6）语言覆盖：仅英文；非英文评论被显式拒绝并计数。</w:t>
      </w:r>
    </w:p>
    <w:p>
      <w:r>
        <w:t>7）跨品类泛化：尚无实证（迁移成本可估算，见附录 F，但未做真实跨品类实验）。</w:t>
      </w:r>
    </w:p>
    <w:p>
      <w:r>
        <w:t>8）**评测集继承关键词闸门（结构性局限，本轮实测发现）**：标签集由「关键词初筛 → LLM 复核」产生，因此 `val_v3_test` 的 **128 条正例 100% 含一阶关键词**；不含关键词的评论（占语料 **86.9%**）在构造上不可能被标为正例。后果：现有全部指标（F1@调优 0.7220 等）的适用范围是「**关键词可达子集**」（占语料 13.1%），**闸门之外的真阳性率尚未测量**——这不等于「没有」，而是「未测」。**已做的代理测量**：模型在闸门外评论上的判正率仅 **0.03%**（3/8,687，Wilson 95% CI 0.01–0.10%；对照闸门内误报率 1.94%），故**去掉闸门在当前无收益**（预计仅新增 ≈30 条误报、召回不变，精确率 79.1%→77.0%）。**定论仍需**无关键词抽样 + LLM 复核（下一阶段）。详见 `docs/difficulty_stratification.md`、`docs/outside_gate_fp.md`。</w:t>
      </w:r>
    </w:p>
    <w:p/>
    <w:p>
      <w:r>
        <w:rPr>
          <w:b/>
          <w:sz w:val="26"/>
        </w:rPr>
        <w:t>附录 C　已知表述勘误与口径演进</w:t>
      </w:r>
    </w:p>
    <w:p>
      <w:r>
        <w:t>本附录为表述层更正：数字本身不变，改的是描述方式，并写明影响范围。</w:t>
      </w:r>
    </w:p>
    <w:p>
      <w:r>
        <w:t>1）dummy 基线标签：原表述全判正常 F1 = 0.025 有误——0.0248 是平凡上界（阈值扫至 ≤0 时等价于全判正）；全判正常时 F1@0.5 = 0.0000。仅标签更正，数值未变。</w:t>
      </w:r>
    </w:p>
    <w:p>
      <w:r>
        <w:t>2）非英文评论行为：v1 文档第 9.1 节写会被静默判为正常属过时陈述；代码行为是显式拒绝并计数（与该文档 4.2 节一致）。不影响任何指标。</w:t>
      </w:r>
    </w:p>
    <w:p>
      <w:r>
        <w:t>3）阈值选择偏差（v1 从未披露，本轮首次披露）：v1 的阈值在同一验证集上选取并报数，故 F1@调优 0.6871[v1] 与 CV 0.6234[v1]±0.0240 含乐观偏置；v2 起阈值只在 val_v3_tune 上选、指标只在 val_v3_test 上报。</w:t>
      </w:r>
    </w:p>
    <w:p>
      <w:r>
        <w:t>4）评测划分不可复现（本轮新发现）：val_v2 由早期标签文件生成，该文件其后被重建、行序改变，用当前文件复算同一划分与 val_v2 重叠 79.5%（正例 78.9%）——在它上面评估用当前标签训练的模型会因记忆虚高（实测 0.9126，该数字作废）；修正后同模型为 0.7206。对 v1 数字无影响：0.6871[v1]／0.6241[v1] 在其当时一致的划分上仍然有效，只是无法由当前文件复现。</w:t>
      </w:r>
    </w:p>
    <w:p>
      <w:r>
        <w:t>5）正例口径演进：1,257[v1]（冻结）→ 1,288（高音补捞）→ 1,280（中置信剔除，当前）。三个值是同一链条的不同阶段，引用须写明阶段。</w:t>
      </w:r>
    </w:p>
    <w:p/>
    <w:p>
      <w:r>
        <w:rPr>
          <w:b/>
          <w:sz w:val="26"/>
        </w:rPr>
        <w:t>附录 D　置信度档位与建议动作（对外结论统一口径）</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档位</w:t>
            </w:r>
          </w:p>
        </w:tc>
        <w:tc>
          <w:tcPr>
            <w:tcW w:type="dxa" w:w="2160"/>
          </w:tcPr>
          <w:p>
            <w:r/>
            <w:r>
              <w:rPr>
                <w:b/>
                <w:sz w:val="18"/>
              </w:rPr>
              <w:t>概率区间</w:t>
            </w:r>
          </w:p>
        </w:tc>
        <w:tc>
          <w:tcPr>
            <w:tcW w:type="dxa" w:w="2160"/>
          </w:tcPr>
          <w:p>
            <w:r/>
            <w:r>
              <w:rPr>
                <w:b/>
                <w:sz w:val="18"/>
              </w:rPr>
              <w:t>含义</w:t>
            </w:r>
          </w:p>
        </w:tc>
        <w:tc>
          <w:tcPr>
            <w:tcW w:type="dxa" w:w="2160"/>
          </w:tcPr>
          <w:p>
            <w:r/>
            <w:r>
              <w:rPr>
                <w:b/>
                <w:sz w:val="18"/>
              </w:rPr>
              <w:t>建议动作</w:t>
            </w:r>
          </w:p>
        </w:tc>
      </w:tr>
      <w:tr>
        <w:tc>
          <w:tcPr>
            <w:tcW w:type="dxa" w:w="2160"/>
          </w:tcPr>
          <w:p>
            <w:r/>
            <w:r>
              <w:rPr>
                <w:sz w:val="18"/>
              </w:rPr>
              <w:t>高</w:t>
            </w:r>
          </w:p>
        </w:tc>
        <w:tc>
          <w:tcPr>
            <w:tcW w:type="dxa" w:w="2160"/>
          </w:tcPr>
          <w:p>
            <w:r/>
            <w:r>
              <w:rPr>
                <w:sz w:val="18"/>
              </w:rPr>
              <w:t>≥ 0.9744[v1]（调优档；校准前仅供排序）</w:t>
            </w:r>
          </w:p>
        </w:tc>
        <w:tc>
          <w:tcPr>
            <w:tcW w:type="dxa" w:w="2160"/>
          </w:tcPr>
          <w:p>
            <w:r/>
            <w:r>
              <w:rPr>
                <w:sz w:val="18"/>
              </w:rPr>
              <w:t>高置信音质差评</w:t>
            </w:r>
          </w:p>
        </w:tc>
        <w:tc>
          <w:tcPr>
            <w:tcW w:type="dxa" w:w="2160"/>
          </w:tcPr>
          <w:p>
            <w:r/>
            <w:r>
              <w:rPr>
                <w:sz w:val="18"/>
              </w:rPr>
              <w:t>直接进入整改／研发评审</w:t>
            </w:r>
          </w:p>
        </w:tc>
      </w:tr>
      <w:tr>
        <w:tc>
          <w:tcPr>
            <w:tcW w:type="dxa" w:w="2160"/>
          </w:tcPr>
          <w:p>
            <w:r/>
            <w:r>
              <w:rPr>
                <w:sz w:val="18"/>
              </w:rPr>
              <w:t>中</w:t>
            </w:r>
          </w:p>
        </w:tc>
        <w:tc>
          <w:tcPr>
            <w:tcW w:type="dxa" w:w="2160"/>
          </w:tcPr>
          <w:p>
            <w:r/>
            <w:r>
              <w:rPr>
                <w:sz w:val="18"/>
              </w:rPr>
              <w:t>0.5 – 0.9744[v1]</w:t>
            </w:r>
          </w:p>
        </w:tc>
        <w:tc>
          <w:tcPr>
            <w:tcW w:type="dxa" w:w="2160"/>
          </w:tcPr>
          <w:p>
            <w:r/>
            <w:r>
              <w:rPr>
                <w:sz w:val="18"/>
              </w:rPr>
              <w:t>疑似负面，证据不足</w:t>
            </w:r>
          </w:p>
        </w:tc>
        <w:tc>
          <w:tcPr>
            <w:tcW w:type="dxa" w:w="2160"/>
          </w:tcPr>
          <w:p>
            <w:r/>
            <w:r>
              <w:rPr>
                <w:sz w:val="18"/>
              </w:rPr>
              <w:t>先做小规模人工抽查</w:t>
            </w:r>
          </w:p>
        </w:tc>
      </w:tr>
      <w:tr>
        <w:tc>
          <w:tcPr>
            <w:tcW w:type="dxa" w:w="2160"/>
          </w:tcPr>
          <w:p>
            <w:r/>
            <w:r>
              <w:rPr>
                <w:sz w:val="18"/>
              </w:rPr>
              <w:t>低</w:t>
            </w:r>
          </w:p>
        </w:tc>
        <w:tc>
          <w:tcPr>
            <w:tcW w:type="dxa" w:w="2160"/>
          </w:tcPr>
          <w:p>
            <w:r/>
            <w:r>
              <w:rPr>
                <w:sz w:val="18"/>
              </w:rPr>
              <w:t>&lt; 0.5</w:t>
            </w:r>
          </w:p>
        </w:tc>
        <w:tc>
          <w:tcPr>
            <w:tcW w:type="dxa" w:w="2160"/>
          </w:tcPr>
          <w:p>
            <w:r/>
            <w:r>
              <w:rPr>
                <w:sz w:val="18"/>
              </w:rPr>
              <w:t>判为正常</w:t>
            </w:r>
          </w:p>
        </w:tc>
        <w:tc>
          <w:tcPr>
            <w:tcW w:type="dxa" w:w="2160"/>
          </w:tcPr>
          <w:p>
            <w:r/>
            <w:r>
              <w:rPr>
                <w:sz w:val="18"/>
              </w:rPr>
              <w:t>仅计入趋势观察，不进入问题分布</w:t>
            </w:r>
          </w:p>
        </w:tc>
      </w:tr>
    </w:tbl>
    <w:p>
      <w:r>
        <w:t>说明：v1 校准评估显示决策区间 [0.9,1.0) 的实际正确率仅 0.555（自报 0.975），故未校准前档位只用于排序；v2 已完成温度缩放校准（决策区间偏差 −0.060）。</w:t>
      </w:r>
    </w:p>
    <w:p/>
    <w:p>
      <w:r>
        <w:rPr>
          <w:b/>
          <w:sz w:val="26"/>
        </w:rPr>
        <w:t>附录 E　失败案例（带发生率，节选）</w:t>
      </w:r>
    </w:p>
    <w:p>
      <w:r>
        <w:t>完整 13 条见附件其他材料（w17_failure_cases.md）。要点：</w:t>
      </w:r>
    </w:p>
    <w:p>
      <w:r>
        <w:t>· 长文本漏报：&gt;128 token 桶 65/211 = 30.8%（对照 ≤64 桶 21.4%、65–128 桶 19.2%）；</w:t>
      </w:r>
    </w:p>
    <w:p>
      <w:r>
        <w:t>· 跨品类误报：73/11,815 = 0.62%，含三条高置信误报（卫星接收机 0.9889、键盘清洁泥 0.9887、蓝牙适配器 0.9896）——高置信也会错，故产品侧保留人工复核接口；</w:t>
      </w:r>
    </w:p>
    <w:p>
      <w:r>
        <w:t>· 5★ 误报 20/13,098 = 0.15%；2★ 误报率最高 1.54%；未验证购买误报 0.58% 对比已验证 0.43%（1.35×）。</w:t>
      </w:r>
    </w:p>
    <w:p/>
    <w:p>
      <w:r>
        <w:rPr>
          <w:b/>
          <w:sz w:val="26"/>
        </w:rPr>
        <w:t>附录 F　迁移成本说明（跨品类）</w:t>
      </w:r>
    </w:p>
    <w:p>
      <w:r>
        <w:t>换品类需：① 重标约 1,300 条正例（与当前 1,280 条同量级）；② 重选阈值（tune/test 分离流程不变）；③ 替换关键词词表（品类相关词），模型基座与训练流程不变。该估算基于学习曲线（100→1,257 正例、F1@0.5 由 0.41 升至 0.6179 仍未见顶），未经真实跨品类实验验证。</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Apple Color Emoji">
    <w:panose1 w:val="00000000000000000000"/>
    <w:charset w:val="00"/>
    <w:family w:val="auto"/>
    <w:pitch w:val="default"/>
    <w:sig w:usb0="00000003" w:usb1="18000000" w:usb2="14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37FF026"/>
    <w:rsid w:val="777B92D7"/>
    <w:rsid w:val="7FEBEE13"/>
    <w:rsid w:val="F3F6E28E"/>
    <w:rsid w:val="FDD30E44"/>
  </w:rsids>
  <m:mathPr>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83"/>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73"/>
    <w:unhideWhenUsed/>
    <w:qFormat/>
    <w:uiPriority w:val="9"/>
    <w:pPr>
      <w:keepNext/>
      <w:keepLines/>
      <w:spacing w:before="200" w:after="0"/>
      <w:outlineLvl w:val="1"/>
    </w:pPr>
    <w:rPr>
      <w:rFonts w:asciiTheme="majorHAnsi" w:hAnsiTheme="majorHAnsi" w:eastAsiaTheme="majorEastAsia" w:cstheme="majorBidi"/>
      <w:b/>
      <w:bCs/>
      <w:color w:val="4F81BD" w:themeColor="accent1"/>
      <w:sz w:val="30"/>
      <w:szCs w:val="26"/>
      <w14:textFill>
        <w14:solidFill>
          <w14:schemeClr w14:val="accent1"/>
        </w14:solidFill>
      </w14:textFill>
    </w:rPr>
  </w:style>
  <w:style w:type="paragraph" w:styleId="5">
    <w:name w:val="heading 3"/>
    <w:basedOn w:val="1"/>
    <w:next w:val="1"/>
    <w:link w:val="164"/>
    <w:unhideWhenUsed/>
    <w:qFormat/>
    <w:uiPriority w:val="9"/>
    <w:pPr>
      <w:keepNext/>
      <w:keepLines/>
      <w:spacing w:before="200" w:after="0"/>
      <w:outlineLvl w:val="2"/>
    </w:pPr>
    <w:rPr>
      <w:rFonts w:asciiTheme="majorHAnsi" w:hAnsiTheme="majorHAnsi" w:eastAsiaTheme="majorEastAsia" w:cstheme="majorBidi"/>
      <w:b/>
      <w:bCs/>
      <w:color w:val="4F81BD" w:themeColor="accent1"/>
      <w:sz w:val="26"/>
      <w14:textFill>
        <w14:solidFill>
          <w14:schemeClr w14:val="accent1"/>
        </w14:solidFill>
      </w14:textFill>
    </w:rPr>
  </w:style>
  <w:style w:type="paragraph" w:styleId="6">
    <w:name w:val="heading 4"/>
    <w:basedOn w:val="1"/>
    <w:next w:val="1"/>
    <w:link w:val="17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8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6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4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7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84"/>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65"/>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contextualSpacing/>
    </w:pPr>
  </w:style>
  <w:style w:type="paragraph" w:styleId="14">
    <w:name w:val="List Number"/>
    <w:basedOn w:val="1"/>
    <w:unhideWhenUsed/>
    <w:uiPriority w:val="99"/>
    <w:p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contextualSpacing/>
    </w:pPr>
  </w:style>
  <w:style w:type="paragraph" w:styleId="17">
    <w:name w:val="Body Text 3"/>
    <w:basedOn w:val="1"/>
    <w:link w:val="159"/>
    <w:unhideWhenUsed/>
    <w:uiPriority w:val="99"/>
    <w:pPr>
      <w:spacing w:after="120"/>
    </w:pPr>
    <w:rPr>
      <w:sz w:val="16"/>
      <w:szCs w:val="16"/>
    </w:rPr>
  </w:style>
  <w:style w:type="paragraph" w:styleId="18">
    <w:name w:val="List Bullet 3"/>
    <w:basedOn w:val="1"/>
    <w:unhideWhenUsed/>
    <w:uiPriority w:val="99"/>
    <w:pPr>
      <w:contextualSpacing/>
    </w:pPr>
  </w:style>
  <w:style w:type="paragraph" w:styleId="19">
    <w:name w:val="Body Text"/>
    <w:basedOn w:val="1"/>
    <w:link w:val="163"/>
    <w:unhideWhenUsed/>
    <w:uiPriority w:val="99"/>
    <w:pPr>
      <w:spacing w:after="120"/>
    </w:pPr>
  </w:style>
  <w:style w:type="paragraph" w:styleId="20">
    <w:name w:val="List Number 3"/>
    <w:basedOn w:val="1"/>
    <w:unhideWhenUsed/>
    <w:uiPriority w:val="99"/>
    <w:p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contextualSpacing/>
    </w:pPr>
  </w:style>
  <w:style w:type="paragraph" w:styleId="24">
    <w:name w:val="footer"/>
    <w:basedOn w:val="1"/>
    <w:link w:val="168"/>
    <w:unhideWhenUsed/>
    <w:uiPriority w:val="99"/>
    <w:pPr>
      <w:tabs>
        <w:tab w:val="center" w:pos="4680"/>
        <w:tab w:val="right" w:pos="9360"/>
      </w:tabs>
      <w:spacing w:after="0" w:line="240" w:lineRule="auto"/>
    </w:pPr>
  </w:style>
  <w:style w:type="paragraph" w:styleId="25">
    <w:name w:val="header"/>
    <w:basedOn w:val="1"/>
    <w:link w:val="160"/>
    <w:unhideWhenUsed/>
    <w:uiPriority w:val="99"/>
    <w:pPr>
      <w:tabs>
        <w:tab w:val="center" w:pos="4680"/>
        <w:tab w:val="right" w:pos="9360"/>
      </w:tabs>
      <w:spacing w:after="0" w:line="240" w:lineRule="auto"/>
    </w:pPr>
  </w:style>
  <w:style w:type="paragraph" w:styleId="26">
    <w:name w:val="Subtitle"/>
    <w:basedOn w:val="1"/>
    <w:next w:val="1"/>
    <w:link w:val="15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38"/>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9"/>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paragraph" w:customStyle="1" w:styleId="135">
    <w:name w:val="TOC Heading"/>
    <w:basedOn w:val="3"/>
    <w:next w:val="1"/>
    <w:semiHidden/>
    <w:unhideWhenUsed/>
    <w:qFormat/>
    <w:uiPriority w:val="39"/>
    <w:pPr>
      <w:outlineLvl w:val="9"/>
    </w:pPr>
  </w:style>
  <w:style w:type="character" w:customStyle="1" w:styleId="136">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37">
    <w:name w:val="Body Text 2 Char"/>
    <w:basedOn w:val="132"/>
    <w:link w:val="28"/>
    <w:uiPriority w:val="99"/>
  </w:style>
  <w:style w:type="character" w:customStyle="1" w:styleId="138">
    <w:name w:val="Body Text 2 Char1"/>
    <w:basedOn w:val="132"/>
    <w:link w:val="28"/>
    <w:uiPriority w:val="99"/>
  </w:style>
  <w:style w:type="paragraph" w:styleId="139">
    <w:name w:val="List Paragraph"/>
    <w:basedOn w:val="1"/>
    <w:qFormat/>
    <w:uiPriority w:val="34"/>
    <w:pPr>
      <w:ind w:left="720"/>
      <w:contextualSpacing/>
    </w:pPr>
  </w:style>
  <w:style w:type="character" w:customStyle="1" w:styleId="14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41">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2">
    <w:name w:val="Body Text 3 Char"/>
    <w:basedOn w:val="132"/>
    <w:link w:val="17"/>
    <w:uiPriority w:val="99"/>
    <w:rPr>
      <w:sz w:val="16"/>
      <w:szCs w:val="16"/>
    </w:rPr>
  </w:style>
  <w:style w:type="character" w:customStyle="1" w:styleId="143">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44">
    <w:name w:val="Subtle Reference"/>
    <w:basedOn w:val="132"/>
    <w:qFormat/>
    <w:uiPriority w:val="31"/>
    <w:rPr>
      <w:smallCaps/>
      <w:color w:val="C0504D" w:themeColor="accent2"/>
      <w:u w:val="single"/>
      <w14:textFill>
        <w14:solidFill>
          <w14:schemeClr w14:val="accent2"/>
        </w14:solidFill>
      </w14:textFill>
    </w:rPr>
  </w:style>
  <w:style w:type="character" w:customStyle="1" w:styleId="145">
    <w:name w:val="Body Text Char"/>
    <w:basedOn w:val="132"/>
    <w:link w:val="19"/>
    <w:uiPriority w:val="99"/>
  </w:style>
  <w:style w:type="character" w:customStyle="1" w:styleId="146">
    <w:name w:val="Heading 7 Char1"/>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7">
    <w:name w:val="Intense Quote Char"/>
    <w:basedOn w:val="132"/>
    <w:uiPriority w:val="30"/>
    <w:rPr>
      <w:b/>
      <w:bCs/>
      <w:i/>
      <w:iCs/>
      <w:color w:val="4F81BD" w:themeColor="accent1"/>
      <w14:textFill>
        <w14:solidFill>
          <w14:schemeClr w14:val="accent1"/>
        </w14:solidFill>
      </w14:textFill>
    </w:rPr>
  </w:style>
  <w:style w:type="paragraph" w:styleId="148">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49">
    <w:name w:val="Title Char1"/>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50">
    <w:name w:val="Macro Text Char"/>
    <w:basedOn w:val="132"/>
    <w:link w:val="2"/>
    <w:uiPriority w:val="99"/>
    <w:rPr>
      <w:rFonts w:ascii="Courier" w:hAnsi="Courier"/>
      <w:sz w:val="20"/>
      <w:szCs w:val="20"/>
    </w:rPr>
  </w:style>
  <w:style w:type="character" w:customStyle="1" w:styleId="151">
    <w:name w:val="Intense Reference"/>
    <w:basedOn w:val="132"/>
    <w:qFormat/>
    <w:uiPriority w:val="32"/>
    <w:rPr>
      <w:b/>
      <w:bCs/>
      <w:smallCaps/>
      <w:color w:val="C0504D" w:themeColor="accent2"/>
      <w:spacing w:val="5"/>
      <w:u w:val="single"/>
      <w14:textFill>
        <w14:solidFill>
          <w14:schemeClr w14:val="accent2"/>
        </w14:solidFill>
      </w14:textFill>
    </w:rPr>
  </w:style>
  <w:style w:type="paragraph" w:styleId="152">
    <w:name w:val="Quote"/>
    <w:basedOn w:val="1"/>
    <w:next w:val="1"/>
    <w:link w:val="178"/>
    <w:qFormat/>
    <w:uiPriority w:val="29"/>
    <w:rPr>
      <w:i/>
      <w:iCs/>
      <w:color w:val="000000" w:themeColor="text1"/>
      <w14:textFill>
        <w14:solidFill>
          <w14:schemeClr w14:val="tx1"/>
        </w14:solidFill>
      </w14:textFill>
    </w:rPr>
  </w:style>
  <w:style w:type="character" w:customStyle="1" w:styleId="153">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54">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55">
    <w:name w:val="Quote Char"/>
    <w:basedOn w:val="132"/>
    <w:link w:val="152"/>
    <w:uiPriority w:val="29"/>
    <w:rPr>
      <w:i/>
      <w:iCs/>
      <w:color w:val="000000" w:themeColor="text1"/>
      <w14:textFill>
        <w14:solidFill>
          <w14:schemeClr w14:val="tx1"/>
        </w14:solidFill>
      </w14:textFill>
    </w:rPr>
  </w:style>
  <w:style w:type="character" w:customStyle="1" w:styleId="156">
    <w:name w:val="Subtitle Char1"/>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57">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8">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59">
    <w:name w:val="Body Text 3 Char1"/>
    <w:basedOn w:val="132"/>
    <w:link w:val="17"/>
    <w:uiPriority w:val="99"/>
    <w:rPr>
      <w:sz w:val="16"/>
      <w:szCs w:val="16"/>
    </w:rPr>
  </w:style>
  <w:style w:type="character" w:customStyle="1" w:styleId="160">
    <w:name w:val="Header Char"/>
    <w:basedOn w:val="132"/>
    <w:link w:val="25"/>
    <w:uiPriority w:val="99"/>
  </w:style>
  <w:style w:type="paragraph" w:styleId="16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62">
    <w:name w:val="Intense Quote Char1"/>
    <w:basedOn w:val="132"/>
    <w:link w:val="148"/>
    <w:uiPriority w:val="30"/>
    <w:rPr>
      <w:b/>
      <w:bCs/>
      <w:i/>
      <w:iCs/>
      <w:color w:val="4F81BD" w:themeColor="accent1"/>
      <w14:textFill>
        <w14:solidFill>
          <w14:schemeClr w14:val="accent1"/>
        </w14:solidFill>
      </w14:textFill>
    </w:rPr>
  </w:style>
  <w:style w:type="character" w:customStyle="1" w:styleId="163">
    <w:name w:val="Body Text Char1"/>
    <w:basedOn w:val="132"/>
    <w:link w:val="19"/>
    <w:uiPriority w:val="99"/>
  </w:style>
  <w:style w:type="character" w:customStyle="1" w:styleId="164">
    <w:name w:val="Heading 3 Char1"/>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65">
    <w:name w:val="Macro Text Char1"/>
    <w:basedOn w:val="132"/>
    <w:link w:val="2"/>
    <w:uiPriority w:val="99"/>
    <w:rPr>
      <w:rFonts w:ascii="Courier" w:hAnsi="Courier"/>
      <w:sz w:val="20"/>
      <w:szCs w:val="20"/>
    </w:rPr>
  </w:style>
  <w:style w:type="character" w:customStyle="1" w:styleId="166">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7">
    <w:name w:val="Heading 6 Char1"/>
    <w:basedOn w:val="132"/>
    <w:link w:val="8"/>
    <w:semiHidden/>
    <w:uiPriority w:val="9"/>
    <w:rPr>
      <w:rFonts w:asciiTheme="majorHAnsi" w:hAnsiTheme="majorHAnsi" w:eastAsiaTheme="majorEastAsia" w:cstheme="majorBidi"/>
      <w:i/>
      <w:iCs/>
      <w:color w:val="254061" w:themeColor="accent1" w:themeShade="80"/>
    </w:rPr>
  </w:style>
  <w:style w:type="character" w:customStyle="1" w:styleId="168">
    <w:name w:val="Footer Char"/>
    <w:basedOn w:val="132"/>
    <w:link w:val="24"/>
    <w:uiPriority w:val="99"/>
  </w:style>
  <w:style w:type="character" w:customStyle="1" w:styleId="16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0">
    <w:name w:val="Subtle Reference1"/>
    <w:basedOn w:val="132"/>
    <w:qFormat/>
    <w:uiPriority w:val="31"/>
    <w:rPr>
      <w:smallCaps/>
      <w:color w:val="C0504D" w:themeColor="accent2"/>
      <w:u w:val="single"/>
      <w14:textFill>
        <w14:solidFill>
          <w14:schemeClr w14:val="accent2"/>
        </w14:solidFill>
      </w14:textFill>
    </w:rPr>
  </w:style>
  <w:style w:type="character" w:customStyle="1" w:styleId="171">
    <w:name w:val="Book Title"/>
    <w:basedOn w:val="132"/>
    <w:qFormat/>
    <w:uiPriority w:val="33"/>
    <w:rPr>
      <w:b/>
      <w:bCs/>
      <w:smallCaps/>
      <w:spacing w:val="5"/>
    </w:rPr>
  </w:style>
  <w:style w:type="paragraph" w:customStyle="1" w:styleId="172">
    <w:name w:val="TOC Heading1"/>
    <w:basedOn w:val="3"/>
    <w:next w:val="1"/>
    <w:semiHidden/>
    <w:unhideWhenUsed/>
    <w:qFormat/>
    <w:uiPriority w:val="39"/>
    <w:pPr>
      <w:outlineLvl w:val="9"/>
    </w:pPr>
  </w:style>
  <w:style w:type="character" w:customStyle="1" w:styleId="173">
    <w:name w:val="Heading 2 Char1"/>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4">
    <w:name w:val="Heading 4 Char1"/>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75">
    <w:name w:val="Intense Emphasis"/>
    <w:basedOn w:val="132"/>
    <w:qFormat/>
    <w:uiPriority w:val="21"/>
    <w:rPr>
      <w:b/>
      <w:bCs/>
      <w:i/>
      <w:iCs/>
      <w:color w:val="4F81BD" w:themeColor="accent1"/>
      <w14:textFill>
        <w14:solidFill>
          <w14:schemeClr w14:val="accent1"/>
        </w14:solidFill>
      </w14:textFill>
    </w:rPr>
  </w:style>
  <w:style w:type="character" w:customStyle="1" w:styleId="176">
    <w:name w:val="Heading 8 Char1"/>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77">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78">
    <w:name w:val="Quote Char1"/>
    <w:basedOn w:val="132"/>
    <w:link w:val="152"/>
    <w:uiPriority w:val="29"/>
    <w:rPr>
      <w:i/>
      <w:iCs/>
      <w:color w:val="000000" w:themeColor="text1"/>
      <w14:textFill>
        <w14:solidFill>
          <w14:schemeClr w14:val="tx1"/>
        </w14:solidFill>
      </w14:textFill>
    </w:rPr>
  </w:style>
  <w:style w:type="character" w:customStyle="1" w:styleId="179">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80">
    <w:name w:val="Intense Emphasis1"/>
    <w:basedOn w:val="132"/>
    <w:qFormat/>
    <w:uiPriority w:val="21"/>
    <w:rPr>
      <w:b/>
      <w:bCs/>
      <w:i/>
      <w:iCs/>
      <w:color w:val="4F81BD" w:themeColor="accent1"/>
      <w14:textFill>
        <w14:solidFill>
          <w14:schemeClr w14:val="accent1"/>
        </w14:solidFill>
      </w14:textFill>
    </w:rPr>
  </w:style>
  <w:style w:type="character" w:customStyle="1" w:styleId="181">
    <w:name w:val="Book Title1"/>
    <w:basedOn w:val="132"/>
    <w:qFormat/>
    <w:uiPriority w:val="33"/>
    <w:rPr>
      <w:b/>
      <w:bCs/>
      <w:smallCaps/>
      <w:spacing w:val="5"/>
    </w:rPr>
  </w:style>
  <w:style w:type="character" w:customStyle="1" w:styleId="182">
    <w:name w:val="Heading 5 Char1"/>
    <w:basedOn w:val="132"/>
    <w:link w:val="7"/>
    <w:semiHidden/>
    <w:uiPriority w:val="9"/>
    <w:rPr>
      <w:rFonts w:asciiTheme="majorHAnsi" w:hAnsiTheme="majorHAnsi" w:eastAsiaTheme="majorEastAsia" w:cstheme="majorBidi"/>
      <w:color w:val="254061" w:themeColor="accent1" w:themeShade="80"/>
    </w:rPr>
  </w:style>
  <w:style w:type="character" w:customStyle="1" w:styleId="183">
    <w:name w:val="Heading 1 Char1"/>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84">
    <w:name w:val="Heading 9 Char1"/>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85">
    <w:name w:val="Subtle Emphasis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86">
    <w:name w:val="Intense Reference1"/>
    <w:basedOn w:val="132"/>
    <w:qFormat/>
    <w:uiPriority w:val="32"/>
    <w:rPr>
      <w:b/>
      <w:bCs/>
      <w:smallCaps/>
      <w:color w:val="C0504D" w:themeColor="accent2"/>
      <w:spacing w:val="5"/>
      <w:u w:val="single"/>
      <w14:textFill>
        <w14:solidFill>
          <w14:schemeClr w14:val="accent2"/>
        </w14:solidFill>
      </w14:textFill>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6</Pages>
  <TotalTime>0</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2026-09-02T15:06:00Z</dcterms:created>
  <dc:creator>Data</dc:creator>
  <cp:lastModifiedBy>明日边缘</cp:lastModifiedBy>
  <dcterms:modified xsi:type="dcterms:W3CDTF">2026-09-24T13:29:42Z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B138C15343521EFF46B5B46A9CB67EB2_43</vt:lpwstr>
  </property>
</Properties>
</file>