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32259">
      <w:pPr>
        <w:jc w:val="center"/>
      </w:pPr>
      <w:r>
        <w:rPr>
          <w:rFonts w:hint="eastAsia" w:ascii="Times New Roman" w:hAnsi="Times New Roman" w:eastAsia="黑体"/>
          <w:b/>
          <w:sz w:val="40"/>
        </w:rPr>
        <w:t>AI+跨境黑客松巅峰赛 · 决赛入围定稿作品</w:t>
      </w:r>
      <w:bookmarkStart w:id="0" w:name="_GoBack"/>
      <w:r>
        <w:rPr>
          <w:rFonts w:hint="eastAsia" w:ascii="Times New Roman" w:hAnsi="Times New Roman" w:eastAsia="黑体"/>
          <w:b/>
          <w:sz w:val="40"/>
          <w:lang w:val="en-US" w:eastAsia="zh-CN"/>
        </w:rPr>
      </w:r>
      <w:bookmarkEnd w:id="0"/>
      <w:r>
        <w:rPr>
          <w:rFonts w:hint="eastAsia" w:ascii="Times New Roman" w:hAnsi="Times New Roman" w:eastAsia="黑体"/>
          <w:b/>
          <w:sz w:val="40"/>
        </w:rPr>
      </w:r>
    </w:p>
    <w:p>
      <w:r>
        <w:rPr>
          <w:b/>
          <w:sz w:val="24"/>
        </w:rPr>
        <w:t>SoundInsight —— 蓝牙耳机音质差评智能归因系统　｜　团队：更新世界的锋芒　｜　参赛场景：AI 市场洞察</w:t>
      </w:r>
    </w:p>
    <w:p w14:paraId="4727268B">
      <w:r>
        <w:t>————————————————————————————————————————</w:t>
      </w:r>
    </w:p>
    <w:p w14:paraId="0DD5EB27">
      <w:pPr>
        <w:pStyle w:val="3"/>
      </w:pPr>
      <w:r>
        <w:rPr>
          <w:rFonts w:hint="eastAsia"/>
        </w:rPr>
        <w:t>提交说明（请先阅读）</w:t>
      </w:r>
    </w:p>
    <w:p w14:paraId="41CC6B73">
      <w:r>
        <w:rPr>
          <w:rFonts w:hint="eastAsia" w:ascii="Times New Roman" w:hAnsi="Times New Roman" w:eastAsia="宋体"/>
          <w:b w:val="0"/>
          <w:sz w:val="22"/>
        </w:rPr>
        <w:t>1. 本模板使用 Word 编辑，填写完成后，请将「本模板 + 附件材料」打包为一个 zip 文件提交。</w:t>
      </w:r>
    </w:p>
    <w:p w14:paraId="46730FB3">
      <w:r>
        <w:rPr>
          <w:rFonts w:hint="eastAsia" w:ascii="Times New Roman" w:hAnsi="Times New Roman" w:eastAsia="宋体"/>
          <w:b w:val="0"/>
          <w:sz w:val="22"/>
        </w:rPr>
        <w:t>2. zip 文件命名：团队名_方案名称_</w:t>
      </w:r>
      <w:r>
        <w:rPr>
          <w:rFonts w:hint="eastAsia" w:ascii="Times New Roman" w:hAnsi="Times New Roman" w:eastAsia="宋体"/>
          <w:b w:val="0"/>
          <w:sz w:val="22"/>
          <w:lang w:eastAsia="zh-CN"/>
        </w:rPr>
        <w:t>决赛入围定稿</w:t>
      </w:r>
      <w:r>
        <w:rPr>
          <w:rFonts w:hint="eastAsia" w:ascii="Times New Roman" w:hAnsi="Times New Roman" w:eastAsia="宋体"/>
          <w:b w:val="0"/>
          <w:sz w:val="22"/>
        </w:rPr>
        <w:t>作品.zip（例：凌云队_智能上新助手_</w:t>
      </w:r>
      <w:r>
        <w:rPr>
          <w:rFonts w:hint="eastAsia" w:ascii="Times New Roman" w:hAnsi="Times New Roman" w:eastAsia="宋体"/>
          <w:b w:val="0"/>
          <w:sz w:val="22"/>
          <w:lang w:eastAsia="zh-CN"/>
        </w:rPr>
        <w:t>决赛入围定稿</w:t>
      </w:r>
      <w:r>
        <w:rPr>
          <w:rFonts w:hint="eastAsia" w:ascii="Times New Roman" w:hAnsi="Times New Roman" w:eastAsia="宋体"/>
          <w:b w:val="0"/>
          <w:sz w:val="22"/>
        </w:rPr>
        <w:t>作品.zip）。</w:t>
      </w:r>
    </w:p>
    <w:p w14:paraId="00E4DF0D">
      <w:r>
        <w:rPr>
          <w:rFonts w:hint="eastAsia" w:ascii="Times New Roman" w:hAnsi="Times New Roman" w:eastAsia="宋体"/>
          <w:b w:val="0"/>
          <w:sz w:val="22"/>
        </w:rPr>
        <w:t>3. 天池渠道仅支持提交一个打包 zip 文件，请将所有材料放入同一个 zip 中上传。</w:t>
      </w:r>
    </w:p>
    <w:p w14:paraId="4135F190">
      <w:r>
        <w:rPr>
          <w:rFonts w:hint="eastAsia" w:ascii="Times New Roman" w:hAnsi="Times New Roman" w:eastAsia="宋体"/>
          <w:b w:val="0"/>
          <w:sz w:val="22"/>
        </w:rPr>
        <w:t>4. 作品需具备可演示的核心功能，证明方案可实现、可使用、具有业务价值。</w:t>
      </w:r>
    </w:p>
    <w:p w14:paraId="33D065D2">
      <w:r>
        <w:rPr>
          <w:rFonts w:hint="eastAsia" w:ascii="Times New Roman" w:hAnsi="Times New Roman" w:eastAsia="宋体"/>
          <w:b w:val="0"/>
          <w:sz w:val="22"/>
        </w:rPr>
        <w:t>5. 如有其他补充材料（测试报告、用户反馈等），可附在文档末尾，一并放入 zip。</w:t>
      </w:r>
    </w:p>
    <w:p w14:paraId="6AC3CAE8">
      <w:r>
        <w:t>————————————————————————————————————————</w:t>
      </w:r>
    </w:p>
    <w:p w14:paraId="130A5C49">
      <w:pPr>
        <w:pStyle w:val="3"/>
      </w:pPr>
      <w:r>
        <w:rPr>
          <w:rFonts w:hint="eastAsia"/>
        </w:rPr>
        <w:t>一、团队信息（必填基本信息）</w:t>
      </w:r>
    </w:p>
    <w:p w14:paraId="4005D354">
      <w:r>
        <w:rPr>
          <w:rFonts w:hint="eastAsia" w:ascii="Times New Roman" w:hAnsi="Times New Roman" w:eastAsia="宋体"/>
          <w:b w:val="0"/>
          <w:color w:val="969696"/>
          <w:sz w:val="20"/>
        </w:rPr>
        <w:t>以下信息为组委会联系与奖励发放依据，请务必填写完整。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021C73C">
        <w:tc>
          <w:tcPr>
            <w:tcW w:w="4320" w:type="dxa"/>
          </w:tcPr>
          <w:p w14:paraId="685BEBE9">
            <w:pPr>
              <w:spacing w:after="0" w:line="240" w:lineRule="auto"/>
            </w:pPr>
            <w:r>
              <w:rPr>
                <w:rFonts w:hint="eastAsia" w:ascii="Times New Roman" w:hAnsi="Times New Roman" w:eastAsia="黑体"/>
                <w:b/>
                <w:sz w:val="22"/>
              </w:rPr>
              <w:t>字段</w:t>
            </w:r>
          </w:p>
        </w:tc>
        <w:tc>
          <w:tcPr>
            <w:tcW w:w="4320" w:type="dxa"/>
          </w:tcPr>
          <w:p w14:paraId="3EDBC3D5">
            <w:pPr>
              <w:spacing w:after="0" w:line="240" w:lineRule="auto"/>
            </w:pPr>
            <w:r>
              <w:rPr>
                <w:rFonts w:hint="eastAsia" w:ascii="Times New Roman" w:hAnsi="Times New Roman" w:eastAsia="宋体"/>
                <w:b w:val="0"/>
                <w:sz w:val="22"/>
              </w:rPr>
              <w:t>填写内容</w:t>
            </w:r>
          </w:p>
        </w:tc>
      </w:tr>
      <w:tr w14:paraId="5F6A0404">
        <w:tc>
          <w:tcPr>
            <w:tcW w:w="4320" w:type="dxa"/>
          </w:tcPr>
          <w:p w14:paraId="0F848710">
            <w:pPr>
              <w:spacing w:after="0" w:line="240" w:lineRule="auto"/>
            </w:pPr>
            <w:r>
              <w:rPr>
                <w:rFonts w:hint="eastAsia" w:ascii="Times New Roman" w:hAnsi="Times New Roman" w:eastAsia="黑体"/>
                <w:b w:val="0"/>
                <w:sz w:val="22"/>
              </w:rPr>
              <w:t>团队名称</w:t>
            </w:r>
          </w:p>
        </w:tc>
        <w:tc>
          <w:tcPr>
            <w:tcW w:w="4320" w:type="dxa"/>
          </w:tcPr>
          <w:p>
            <w:r/>
            <w:r>
              <w:t>更新世界的锋芒</w:t>
            </w:r>
          </w:p>
        </w:tc>
      </w:tr>
      <w:tr w14:paraId="01449C30">
        <w:tc>
          <w:tcPr>
            <w:tcW w:w="4320" w:type="dxa"/>
          </w:tcPr>
          <w:p w14:paraId="65CC92A1">
            <w:pPr>
              <w:spacing w:after="0" w:line="240" w:lineRule="auto"/>
            </w:pPr>
            <w:r>
              <w:rPr>
                <w:rFonts w:hint="eastAsia" w:ascii="Times New Roman" w:hAnsi="Times New Roman" w:eastAsia="黑体"/>
                <w:b w:val="0"/>
                <w:sz w:val="22"/>
              </w:rPr>
              <w:t>队长姓名</w:t>
            </w:r>
          </w:p>
        </w:tc>
        <w:tc>
          <w:tcPr>
            <w:tcW w:w="4320" w:type="dxa"/>
          </w:tcPr>
          <w:p>
            <w:r/>
            <w:r>
              <w:t>黎同竣</w:t>
            </w:r>
          </w:p>
        </w:tc>
      </w:tr>
      <w:tr w14:paraId="1BABC31B">
        <w:tc>
          <w:tcPr>
            <w:tcW w:w="4320" w:type="dxa"/>
          </w:tcPr>
          <w:p w14:paraId="505BABBD">
            <w:pPr>
              <w:spacing w:after="0" w:line="240" w:lineRule="auto"/>
            </w:pPr>
            <w:r>
              <w:rPr>
                <w:rFonts w:hint="eastAsia" w:ascii="Times New Roman" w:hAnsi="Times New Roman" w:eastAsia="黑体"/>
                <w:b w:val="0"/>
                <w:sz w:val="22"/>
              </w:rPr>
              <w:t>联系电话</w:t>
            </w:r>
          </w:p>
        </w:tc>
        <w:tc>
          <w:tcPr>
            <w:tcW w:w="4320" w:type="dxa"/>
          </w:tcPr>
          <w:p>
            <w:r/>
            <w:r>
              <w:t>19195907942</w:t>
            </w:r>
          </w:p>
        </w:tc>
      </w:tr>
      <w:tr w14:paraId="145DC022">
        <w:tc>
          <w:tcPr>
            <w:tcW w:w="4320" w:type="dxa"/>
          </w:tcPr>
          <w:p w14:paraId="277EF63F">
            <w:pPr>
              <w:spacing w:after="0" w:line="240" w:lineRule="auto"/>
            </w:pPr>
            <w:r>
              <w:rPr>
                <w:rFonts w:hint="eastAsia" w:ascii="Times New Roman" w:hAnsi="Times New Roman" w:eastAsia="黑体"/>
                <w:b w:val="0"/>
                <w:sz w:val="22"/>
              </w:rPr>
              <w:t>联系邮箱</w:t>
            </w:r>
          </w:p>
        </w:tc>
        <w:tc>
          <w:tcPr>
            <w:tcW w:w="4320" w:type="dxa"/>
          </w:tcPr>
          <w:p>
            <w:r/>
            <w:r>
              <w:t>2799920054@qq.com</w:t>
            </w:r>
          </w:p>
        </w:tc>
      </w:tr>
    </w:tbl>
    <w:p w14:paraId="36EC57BD"/>
    <w:p w14:paraId="1BF241F0">
      <w:pPr>
        <w:rPr>
          <w:rFonts w:hint="eastAsia" w:ascii="Times New Roman" w:hAnsi="Times New Roman" w:eastAsia="黑体"/>
          <w:b/>
          <w:sz w:val="22"/>
        </w:rPr>
      </w:pPr>
      <w:r>
        <w:rPr>
          <w:rFonts w:hint="eastAsia" w:ascii="Times New Roman" w:hAnsi="Times New Roman" w:eastAsia="黑体"/>
          <w:b/>
          <w:sz w:val="22"/>
        </w:rPr>
        <w:t>全体成员（可列多行：姓名 / 角色 / 职责）：</w:t>
      </w:r>
    </w:p>
    <w:p w14:paraId="28D2F00C">
      <w:pPr>
        <w:rPr>
          <w:rFonts w:hint="eastAsia" w:ascii="Times New Roman" w:hAnsi="Times New Roman" w:eastAsia="黑体"/>
          <w:b/>
          <w:sz w:val="22"/>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4"/>
        <w:gridCol w:w="1513"/>
        <w:gridCol w:w="1711"/>
        <w:gridCol w:w="1450"/>
        <w:gridCol w:w="1257"/>
        <w:gridCol w:w="1905"/>
      </w:tblGrid>
      <w:tr w14:paraId="4A31E7FA">
        <w:trPr>
          <w:trHeight w:val="316" w:hRule="atLeast"/>
          <w:jc w:val="center"/>
        </w:trPr>
        <w:tc>
          <w:tcPr>
            <w:tcW w:w="744" w:type="dxa"/>
          </w:tcPr>
          <w:p w14:paraId="5A5D1D72">
            <w:pPr>
              <w:spacing w:after="0" w:line="240" w:lineRule="auto"/>
              <w:jc w:val="center"/>
              <w:rPr>
                <w:rFonts w:hint="eastAsia" w:eastAsia="宋体"/>
                <w:b/>
                <w:bCs w:val="0"/>
                <w:lang w:val="en-US" w:eastAsia="zh-CN"/>
              </w:rPr>
            </w:pPr>
            <w:r>
              <w:rPr>
                <w:rFonts w:hint="eastAsia" w:eastAsia="宋体"/>
                <w:b/>
                <w:bCs w:val="0"/>
                <w:lang w:val="en-US" w:eastAsia="zh-CN"/>
              </w:rPr>
              <w:t>姓名</w:t>
            </w:r>
          </w:p>
        </w:tc>
        <w:tc>
          <w:tcPr>
            <w:tcW w:w="1513" w:type="dxa"/>
          </w:tcPr>
          <w:p w14:paraId="3728BDFB">
            <w:pPr>
              <w:spacing w:after="0" w:line="240" w:lineRule="auto"/>
              <w:jc w:val="center"/>
              <w:rPr>
                <w:rFonts w:hint="eastAsia" w:eastAsia="宋体"/>
                <w:b/>
                <w:bCs w:val="0"/>
                <w:lang w:val="en-US" w:eastAsia="zh-CN"/>
              </w:rPr>
            </w:pPr>
            <w:r>
              <w:rPr>
                <w:rFonts w:hint="eastAsia" w:eastAsia="宋体"/>
                <w:b/>
                <w:bCs w:val="0"/>
                <w:lang w:val="en-US" w:eastAsia="zh-CN"/>
              </w:rPr>
              <w:t>电话</w:t>
            </w:r>
          </w:p>
        </w:tc>
        <w:tc>
          <w:tcPr>
            <w:tcW w:w="1711" w:type="dxa"/>
          </w:tcPr>
          <w:p w14:paraId="35532AF3">
            <w:pPr>
              <w:spacing w:after="0" w:line="240" w:lineRule="auto"/>
              <w:jc w:val="center"/>
              <w:rPr>
                <w:rFonts w:hint="eastAsia" w:eastAsia="宋体"/>
                <w:b/>
                <w:bCs w:val="0"/>
                <w:lang w:val="en-US" w:eastAsia="zh-CN"/>
              </w:rPr>
            </w:pPr>
            <w:r>
              <w:rPr>
                <w:rFonts w:hint="eastAsia" w:eastAsia="宋体"/>
                <w:b/>
                <w:bCs w:val="0"/>
                <w:lang w:val="en-US" w:eastAsia="zh-CN"/>
              </w:rPr>
              <w:t>邮箱</w:t>
            </w:r>
          </w:p>
        </w:tc>
        <w:tc>
          <w:tcPr>
            <w:tcW w:w="1450" w:type="dxa"/>
          </w:tcPr>
          <w:p w14:paraId="437304ED">
            <w:pPr>
              <w:spacing w:after="0" w:line="240" w:lineRule="auto"/>
              <w:jc w:val="center"/>
              <w:rPr>
                <w:rFonts w:hint="default" w:eastAsia="宋体"/>
                <w:b/>
                <w:bCs w:val="0"/>
                <w:lang w:val="en-US" w:eastAsia="zh-CN"/>
              </w:rPr>
            </w:pPr>
            <w:r>
              <w:rPr>
                <w:rFonts w:hint="eastAsia" w:eastAsia="宋体"/>
                <w:b/>
                <w:bCs w:val="0"/>
                <w:lang w:val="en-US" w:eastAsia="zh-CN"/>
              </w:rPr>
              <w:t>组织/公司</w:t>
            </w:r>
          </w:p>
        </w:tc>
        <w:tc>
          <w:tcPr>
            <w:tcW w:w="1257" w:type="dxa"/>
          </w:tcPr>
          <w:p w14:paraId="3D0D1B11">
            <w:pPr>
              <w:spacing w:after="0" w:line="240" w:lineRule="auto"/>
              <w:jc w:val="center"/>
              <w:rPr>
                <w:rFonts w:hint="default" w:eastAsia="宋体"/>
                <w:b/>
                <w:bCs w:val="0"/>
                <w:lang w:val="en-US" w:eastAsia="zh-CN"/>
              </w:rPr>
            </w:pPr>
            <w:r>
              <w:rPr>
                <w:rFonts w:hint="eastAsia" w:eastAsia="宋体"/>
                <w:b/>
                <w:bCs w:val="0"/>
                <w:lang w:val="en-US" w:eastAsia="zh-CN"/>
              </w:rPr>
              <w:t>职务</w:t>
            </w:r>
          </w:p>
        </w:tc>
        <w:tc>
          <w:tcPr>
            <w:tcW w:w="1905" w:type="dxa"/>
          </w:tcPr>
          <w:p w14:paraId="613799E9">
            <w:pPr>
              <w:spacing w:after="0" w:line="240" w:lineRule="auto"/>
              <w:jc w:val="center"/>
              <w:rPr>
                <w:rFonts w:hint="default" w:eastAsia="宋体"/>
                <w:b/>
                <w:bCs w:val="0"/>
                <w:lang w:val="en-US" w:eastAsia="zh-CN"/>
              </w:rPr>
            </w:pPr>
            <w:r>
              <w:rPr>
                <w:rFonts w:hint="eastAsia" w:eastAsia="宋体"/>
                <w:b/>
                <w:bCs w:val="0"/>
                <w:lang w:val="en-US" w:eastAsia="zh-CN"/>
              </w:rPr>
              <w:t>角色(队长/队员)</w:t>
            </w:r>
          </w:p>
        </w:tc>
      </w:tr>
      <w:tr w14:paraId="1B000C5F">
        <w:trPr>
          <w:jc w:val="center"/>
        </w:trPr>
        <w:tc>
          <w:tcPr>
            <w:tcW w:w="744" w:type="dxa"/>
          </w:tcPr>
          <w:p>
            <w:r/>
            <w:r>
              <w:t>黎同竣</w:t>
            </w:r>
          </w:p>
        </w:tc>
        <w:tc>
          <w:tcPr>
            <w:tcW w:w="1513" w:type="dxa"/>
          </w:tcPr>
          <w:p>
            <w:r/>
            <w:r>
              <w:t>19195907942</w:t>
            </w:r>
          </w:p>
        </w:tc>
        <w:tc>
          <w:tcPr>
            <w:tcW w:w="1711" w:type="dxa"/>
          </w:tcPr>
          <w:p>
            <w:r/>
            <w:r>
              <w:t>2799920054@qq.com</w:t>
            </w:r>
          </w:p>
        </w:tc>
        <w:tc>
          <w:tcPr>
            <w:tcW w:w="1450" w:type="dxa"/>
          </w:tcPr>
          <w:p>
            <w:r/>
            <w:r>
              <w:t>个人团队</w:t>
            </w:r>
          </w:p>
        </w:tc>
        <w:tc>
          <w:tcPr>
            <w:tcW w:w="1257" w:type="dxa"/>
          </w:tcPr>
          <w:p>
            <w:r/>
            <w:r>
              <w:t>个人开发者</w:t>
            </w:r>
          </w:p>
        </w:tc>
        <w:tc>
          <w:tcPr>
            <w:tcW w:w="1905" w:type="dxa"/>
          </w:tcPr>
          <w:p>
            <w:r/>
            <w:r>
              <w:t>队长</w:t>
            </w:r>
          </w:p>
        </w:tc>
      </w:tr>
      <w:tr w14:paraId="4F6C30BD">
        <w:trPr>
          <w:jc w:val="center"/>
        </w:trPr>
        <w:tc>
          <w:tcPr>
            <w:tcW w:w="744" w:type="dxa"/>
          </w:tcPr>
          <w:p w14:paraId="4292DCED">
            <w:pPr>
              <w:spacing w:after="0" w:line="240" w:lineRule="auto"/>
            </w:pPr>
          </w:p>
        </w:tc>
        <w:tc>
          <w:tcPr>
            <w:tcW w:w="1513" w:type="dxa"/>
          </w:tcPr>
          <w:p w14:paraId="3152B107">
            <w:pPr>
              <w:spacing w:after="0" w:line="240" w:lineRule="auto"/>
            </w:pPr>
          </w:p>
        </w:tc>
        <w:tc>
          <w:tcPr>
            <w:tcW w:w="1711" w:type="dxa"/>
          </w:tcPr>
          <w:p w14:paraId="33EBD898">
            <w:pPr>
              <w:spacing w:after="0" w:line="240" w:lineRule="auto"/>
            </w:pPr>
          </w:p>
        </w:tc>
        <w:tc>
          <w:tcPr>
            <w:tcW w:w="1450" w:type="dxa"/>
          </w:tcPr>
          <w:p w14:paraId="432C5625">
            <w:pPr>
              <w:spacing w:after="0" w:line="240" w:lineRule="auto"/>
            </w:pPr>
          </w:p>
        </w:tc>
        <w:tc>
          <w:tcPr>
            <w:tcW w:w="1257" w:type="dxa"/>
          </w:tcPr>
          <w:p w14:paraId="46CA3FCC">
            <w:pPr>
              <w:spacing w:after="0" w:line="240" w:lineRule="auto"/>
            </w:pPr>
          </w:p>
        </w:tc>
        <w:tc>
          <w:tcPr>
            <w:tcW w:w="1905" w:type="dxa"/>
          </w:tcPr>
          <w:p w14:paraId="264141FA">
            <w:pPr>
              <w:spacing w:after="0" w:line="240" w:lineRule="auto"/>
            </w:pPr>
          </w:p>
        </w:tc>
      </w:tr>
      <w:tr w14:paraId="02C71EDD">
        <w:trPr>
          <w:jc w:val="center"/>
        </w:trPr>
        <w:tc>
          <w:tcPr>
            <w:tcW w:w="744" w:type="dxa"/>
          </w:tcPr>
          <w:p w14:paraId="4F22978D">
            <w:pPr>
              <w:spacing w:after="0" w:line="240" w:lineRule="auto"/>
            </w:pPr>
          </w:p>
        </w:tc>
        <w:tc>
          <w:tcPr>
            <w:tcW w:w="1513" w:type="dxa"/>
          </w:tcPr>
          <w:p w14:paraId="3BD99A9C">
            <w:pPr>
              <w:spacing w:after="0" w:line="240" w:lineRule="auto"/>
            </w:pPr>
          </w:p>
        </w:tc>
        <w:tc>
          <w:tcPr>
            <w:tcW w:w="1711" w:type="dxa"/>
          </w:tcPr>
          <w:p w14:paraId="6F417505">
            <w:pPr>
              <w:spacing w:after="0" w:line="240" w:lineRule="auto"/>
            </w:pPr>
          </w:p>
        </w:tc>
        <w:tc>
          <w:tcPr>
            <w:tcW w:w="1450" w:type="dxa"/>
          </w:tcPr>
          <w:p w14:paraId="47E15F35">
            <w:pPr>
              <w:spacing w:after="0" w:line="240" w:lineRule="auto"/>
            </w:pPr>
          </w:p>
        </w:tc>
        <w:tc>
          <w:tcPr>
            <w:tcW w:w="1257" w:type="dxa"/>
          </w:tcPr>
          <w:p w14:paraId="354F5584">
            <w:pPr>
              <w:spacing w:after="0" w:line="240" w:lineRule="auto"/>
            </w:pPr>
          </w:p>
        </w:tc>
        <w:tc>
          <w:tcPr>
            <w:tcW w:w="1905" w:type="dxa"/>
          </w:tcPr>
          <w:p w14:paraId="2620A030">
            <w:pPr>
              <w:spacing w:after="0" w:line="240" w:lineRule="auto"/>
            </w:pPr>
          </w:p>
        </w:tc>
      </w:tr>
      <w:tr w14:paraId="66F1E524">
        <w:trPr>
          <w:jc w:val="center"/>
        </w:trPr>
        <w:tc>
          <w:tcPr>
            <w:tcW w:w="744" w:type="dxa"/>
          </w:tcPr>
          <w:p w14:paraId="699C66E0">
            <w:pPr>
              <w:spacing w:after="0" w:line="240" w:lineRule="auto"/>
            </w:pPr>
          </w:p>
        </w:tc>
        <w:tc>
          <w:tcPr>
            <w:tcW w:w="1513" w:type="dxa"/>
          </w:tcPr>
          <w:p w14:paraId="3D927E0B">
            <w:pPr>
              <w:spacing w:after="0" w:line="240" w:lineRule="auto"/>
            </w:pPr>
          </w:p>
        </w:tc>
        <w:tc>
          <w:tcPr>
            <w:tcW w:w="1711" w:type="dxa"/>
          </w:tcPr>
          <w:p w14:paraId="7E76C522">
            <w:pPr>
              <w:spacing w:after="0" w:line="240" w:lineRule="auto"/>
            </w:pPr>
          </w:p>
        </w:tc>
        <w:tc>
          <w:tcPr>
            <w:tcW w:w="1450" w:type="dxa"/>
          </w:tcPr>
          <w:p w14:paraId="0215AD01">
            <w:pPr>
              <w:spacing w:after="0" w:line="240" w:lineRule="auto"/>
            </w:pPr>
          </w:p>
        </w:tc>
        <w:tc>
          <w:tcPr>
            <w:tcW w:w="1257" w:type="dxa"/>
          </w:tcPr>
          <w:p w14:paraId="049A79A3">
            <w:pPr>
              <w:spacing w:after="0" w:line="240" w:lineRule="auto"/>
            </w:pPr>
          </w:p>
        </w:tc>
        <w:tc>
          <w:tcPr>
            <w:tcW w:w="1905" w:type="dxa"/>
          </w:tcPr>
          <w:p w14:paraId="435FBA95">
            <w:pPr>
              <w:spacing w:after="0" w:line="240" w:lineRule="auto"/>
            </w:pPr>
          </w:p>
        </w:tc>
      </w:tr>
    </w:tbl>
    <w:p w14:paraId="73502619"/>
    <w:p w14:paraId="2A94C8B4">
      <w:r>
        <w:t>———————————————————————————————————————</w:t>
      </w:r>
    </w:p>
    <w:p w14:paraId="4C735C48">
      <w:pPr>
        <w:pStyle w:val="3"/>
      </w:pPr>
      <w:r>
        <w:rPr>
          <w:rFonts w:hint="eastAsia"/>
        </w:rPr>
        <w:t>二、参赛信息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CDFA8D8">
        <w:tc>
          <w:tcPr>
            <w:tcW w:w="4320" w:type="dxa"/>
          </w:tcPr>
          <w:p w14:paraId="3771450C">
            <w:pPr>
              <w:spacing w:after="0" w:line="240" w:lineRule="auto"/>
            </w:pPr>
            <w:r>
              <w:rPr>
                <w:rFonts w:hint="eastAsia" w:ascii="Times New Roman" w:hAnsi="Times New Roman" w:eastAsia="黑体"/>
                <w:b/>
                <w:sz w:val="22"/>
              </w:rPr>
              <w:t>字段</w:t>
            </w:r>
          </w:p>
        </w:tc>
        <w:tc>
          <w:tcPr>
            <w:tcW w:w="4320" w:type="dxa"/>
          </w:tcPr>
          <w:p w14:paraId="31C56C44">
            <w:pPr>
              <w:spacing w:after="0" w:line="240" w:lineRule="auto"/>
            </w:pPr>
            <w:r>
              <w:rPr>
                <w:rFonts w:hint="eastAsia" w:ascii="Times New Roman" w:hAnsi="Times New Roman" w:eastAsia="宋体"/>
                <w:b w:val="0"/>
                <w:sz w:val="22"/>
              </w:rPr>
              <w:t>填写内容</w:t>
            </w:r>
          </w:p>
        </w:tc>
      </w:tr>
      <w:tr w14:paraId="02ECCDFB">
        <w:tc>
          <w:tcPr>
            <w:tcW w:w="4320" w:type="dxa"/>
          </w:tcPr>
          <w:p w14:paraId="2F8976BE">
            <w:pPr>
              <w:spacing w:after="0" w:line="240" w:lineRule="auto"/>
            </w:pPr>
            <w:r>
              <w:rPr>
                <w:rFonts w:hint="eastAsia" w:ascii="Times New Roman" w:hAnsi="Times New Roman" w:eastAsia="黑体"/>
                <w:b w:val="0"/>
                <w:sz w:val="22"/>
              </w:rPr>
              <w:t>参赛场景</w:t>
            </w:r>
          </w:p>
        </w:tc>
        <w:tc>
          <w:tcPr>
            <w:tcW w:w="4320" w:type="dxa"/>
          </w:tcPr>
          <w:p>
            <w:r/>
            <w:r>
              <w:t>AI市场洞察</w:t>
            </w:r>
          </w:p>
        </w:tc>
      </w:tr>
      <w:tr w14:paraId="27D2CF78">
        <w:tc>
          <w:tcPr>
            <w:tcW w:w="4320" w:type="dxa"/>
          </w:tcPr>
          <w:p w14:paraId="51EDA067">
            <w:pPr>
              <w:spacing w:after="0" w:line="240" w:lineRule="auto"/>
            </w:pPr>
            <w:r>
              <w:rPr>
                <w:rFonts w:hint="eastAsia" w:ascii="Times New Roman" w:hAnsi="Times New Roman" w:eastAsia="黑体"/>
                <w:b w:val="0"/>
                <w:sz w:val="22"/>
              </w:rPr>
              <w:t>方案名称</w:t>
            </w:r>
          </w:p>
        </w:tc>
        <w:tc>
          <w:tcPr>
            <w:tcW w:w="4320" w:type="dxa"/>
          </w:tcPr>
          <w:p>
            <w:r/>
            <w:r>
              <w:t>SoundInsight</w:t>
            </w:r>
          </w:p>
        </w:tc>
      </w:tr>
    </w:tbl>
    <w:p w14:paraId="7DC5BD47"/>
    <w:p w14:paraId="6B1121EB">
      <w:r>
        <w:rPr>
          <w:rFonts w:hint="eastAsia" w:ascii="Times New Roman" w:hAnsi="Times New Roman" w:eastAsia="黑体"/>
          <w:b/>
          <w:sz w:val="22"/>
        </w:rPr>
        <w:t>一句话定义：为跨境电商耳机卖家提供音质差评自动识别与五类问题归因的一站式洞察工具，把人工数小时的差评梳理压缩到分钟级；产品推理 100% 本地，卖家数据不出境。</w:t>
      </w:r>
    </w:p>
    <w:p>
      <w:r>
        <w:rPr>
          <w:b/>
        </w:rPr>
        <w:t>适用范围与价值边界（必读；2026-10-06 实测版）</w:t>
      </w:r>
      <w:r>
        <w:rPr>
          <w:b w:val="0"/>
        </w:rPr>
        <w:t>：本产品</w:t>
      </w:r>
      <w:r>
        <w:rPr>
          <w:b/>
        </w:rPr>
        <w:t>只判定提到声音的评论</w:t>
      </w:r>
      <w:r>
        <w:rPr>
          <w:b w:val="0"/>
        </w:rPr>
        <w:t xml:space="preserve">（占语料 </w:t>
      </w:r>
      <w:r>
        <w:rPr>
          <w:b/>
        </w:rPr>
        <w:t>12.9%</w:t>
      </w:r>
      <w:r>
        <w:rPr>
          <w:b w:val="0"/>
        </w:rPr>
        <w:t>）。在该范围内，</w:t>
      </w:r>
      <w:r>
        <w:rPr>
          <w:b/>
        </w:rPr>
        <w:t>人工盲判</w:t>
      </w:r>
      <w:r>
        <w:rPr>
          <w:b w:val="0"/>
        </w:rPr>
        <w:t>（两张独立样本各 50 条）</w:t>
      </w:r>
      <w:r>
        <w:rPr>
          <w:b/>
        </w:rPr>
        <w:t>精确率 75–78%、召回 68.3%（95% CI 46–100%）</w:t>
      </w:r>
      <w:r>
        <w:rPr>
          <w:b w:val="0"/>
        </w:rPr>
        <w:t>——即</w:t>
      </w:r>
      <w:r>
        <w:rPr>
          <w:b/>
        </w:rPr>
        <w:t>约 3/4 的告警为真、覆盖约 2/3 的真抱怨</w:t>
      </w:r>
      <w:r>
        <w:rPr>
          <w:b w:val="0"/>
        </w:rPr>
        <w:t xml:space="preserve">，卖家差评阅读量降至约 </w:t>
      </w:r>
      <w:r>
        <w:rPr>
          <w:b/>
        </w:rPr>
        <w:t>1/10</w:t>
      </w:r>
      <w:r>
        <w:rPr>
          <w:b w:val="0"/>
        </w:rPr>
        <w:t xml:space="preserve">；推理 </w:t>
      </w:r>
      <w:r>
        <w:rPr>
          <w:b/>
        </w:rPr>
        <w:t>100% 本地、单条边际成本 0</w:t>
      </w:r>
      <w:r>
        <w:rPr>
          <w:b w:val="0"/>
        </w:rPr>
        <w:t>、卖家数据不出境。</w:t>
      </w:r>
      <w:r>
        <w:rPr>
          <w:b/>
        </w:rPr>
        <w:t>范围外（无音频词汇的 87%）</w:t>
      </w:r>
      <w:r>
        <w:rPr>
          <w:b w:val="0"/>
        </w:rPr>
        <w:t>一律标「未判定」，并按 13 类给出差评原因——</w:t>
      </w:r>
      <w:r>
        <w:rPr>
          <w:b/>
        </w:rPr>
        <w:t>未判定 ≠ 正常</w:t>
      </w:r>
      <w:r>
        <w:rPr>
          <w:b w:val="0"/>
        </w:rPr>
        <w:t>；对该部分</w:t>
      </w:r>
      <w:r>
        <w:rPr>
          <w:b/>
        </w:rPr>
        <w:t>不做音质判定</w:t>
      </w:r>
      <w:r>
        <w:rPr>
          <w:b w:val="0"/>
        </w:rPr>
        <w:t>（干净池 14,299 条中仅触发 16 条）。故它是</w:t>
      </w:r>
      <w:r>
        <w:rPr>
          <w:b/>
        </w:rPr>
        <w:t>分诊工具</w:t>
      </w:r>
      <w:r>
        <w:rPr>
          <w:b w:val="0"/>
        </w:rPr>
        <w:t>（优先级排序 ＋ 归因线索），</w:t>
      </w:r>
      <w:r>
        <w:rPr>
          <w:b/>
        </w:rPr>
        <w:t>不是</w:t>
      </w:r>
      <w:r>
        <w:rPr>
          <w:b w:val="0"/>
        </w:rPr>
        <w:t>「找出评论里所有耳机音质差评」的通用发现器，最终判断由人做；更弱的两个维度（闸门外召回、五类归因 0.44–0.52）与修法见附录 C 第 10–13 条。</w:t>
      </w:r>
    </w:p>
    <w:p w14:paraId="564E3F30"/>
    <w:p w14:paraId="2A75F12D">
      <w:r>
        <w:t>————————————————————————————————————————</w:t>
      </w:r>
    </w:p>
    <w:p w14:paraId="0D408510">
      <w:pPr>
        <w:pStyle w:val="3"/>
      </w:pPr>
      <w:r>
        <w:rPr>
          <w:rFonts w:hint="eastAsia"/>
        </w:rPr>
        <w:t>三、业务价值与市场分析（业务侧评审重点）</w:t>
      </w:r>
    </w:p>
    <w:p w14:paraId="46CC20AC">
      <w:r>
        <w:rPr>
          <w:rFonts w:hint="eastAsia"/>
        </w:rPr>
        <w:t>本部分是业务侧评审的核心依据，请重点描述方案的商业价值与应用前景，让评委理解你的项目为什么值得做。</w:t>
      </w:r>
    </w:p>
    <w:p w14:paraId="6EB143FB">
      <w:r>
        <w:rPr>
          <w:rFonts w:hint="eastAsia"/>
        </w:rPr>
        <w:t>3.1 目标用户与业务痛点</w:t>
      </w:r>
    </w:p>
    <w:p>
      <w:r>
        <w:t>目标用户：跨境电商平台耳机类目的中小卖家（团队 &lt;10 人、无专职数据分析师）。</w:t>
      </w:r>
    </w:p>
    <w:p>
      <w:r>
        <w:t>核心痛点：</w:t>
      </w:r>
    </w:p>
    <w:p>
      <w:r>
        <w:t>1）差评量大：日均 50–200 条，人工翻看耗时；</w:t>
      </w:r>
    </w:p>
    <w:p>
      <w:r>
        <w:t>2）语言杂：以英文为主，夹杂西班牙语、日语等；</w:t>
      </w:r>
    </w:p>
    <w:p>
      <w:r>
        <w:rPr>
          <w:b w:val="0"/>
        </w:rPr>
        <w:t>3）音质问题隐蔽：藏在长文本里——本项目实测三星评论中 41.5%（95% CI 34.9–48.4%，n=200，Wilson 区间）</w:t>
      </w:r>
      <w:r>
        <w:rPr>
          <w:b/>
        </w:rPr>
        <w:t>经人工口径确认属耳机音质差评</w:t>
      </w:r>
      <w:r>
        <w:rPr>
          <w:b w:val="0"/>
        </w:rPr>
        <w:t>却被关键词规则漏检；</w:t>
      </w:r>
    </w:p>
    <w:p>
      <w:r>
        <w:t>4）改进滞后：无法系统归类问题，产品迭代只能凭经验。</w:t>
      </w:r>
    </w:p>
    <w:p w14:paraId="739676C0"/>
    <w:p w14:paraId="3A96F06C">
      <w:r>
        <w:rPr>
          <w:rFonts w:hint="eastAsia"/>
        </w:rPr>
        <w:t>3.2 应用场景与使用流程</w:t>
      </w:r>
    </w:p>
    <w:p>
      <w:r>
        <w:t>场景一（选品）：产品经理输入竞品 ASIN，生成声学抱怨（含音质）对比报告；</w:t>
      </w:r>
    </w:p>
    <w:p>
      <w:r>
        <w:t>场景二（优化）：运营上传自家评论 CSV，一键生成问题分布与整改建议；</w:t>
      </w:r>
    </w:p>
    <w:p>
      <w:r>
        <w:t>场景三（迭代）：研发对比改版前后报告，验证改进效果；</w:t>
      </w:r>
    </w:p>
    <w:p>
      <w:r>
        <w:rPr>
          <w:b w:val="0"/>
        </w:rPr>
        <w:t>使用流程：上传 CSV → 分析（本地 GPU 实测 1.763 秒／1000 条）→ 查看报告（含优先级排序）→ 导出 Markdown／Excel（报告含</w:t>
      </w:r>
      <w:r>
        <w:rPr>
          <w:b/>
        </w:rPr>
        <w:t>三档清单</w:t>
      </w:r>
      <w:r>
        <w:rPr>
          <w:b w:val="0"/>
        </w:rPr>
        <w:t>、</w:t>
      </w:r>
      <w:r>
        <w:rPr>
          <w:b/>
        </w:rPr>
        <w:t>非音质差评的类型分布</w:t>
      </w:r>
      <w:r>
        <w:rPr>
          <w:b w:val="0"/>
        </w:rPr>
        <w:t>与</w:t>
      </w:r>
      <w:r>
        <w:rPr>
          <w:b/>
        </w:rPr>
        <w:t>不可归因原因</w:t>
      </w:r>
      <w:r>
        <w:rPr>
          <w:b w:val="0"/>
        </w:rPr>
        <w:t>）。</w:t>
      </w:r>
    </w:p>
    <w:p w14:paraId="50FB5D11"/>
    <w:p w14:paraId="0CBC1C8F">
      <w:r>
        <w:rPr>
          <w:rFonts w:hint="eastAsia"/>
        </w:rPr>
        <w:t>3.3 商业价值与预期效果</w:t>
      </w:r>
    </w:p>
    <w:tbl>
      <w:tblPr>
        <w:tblStyle w:val="33"/>
        <w:tblW w:type="auto" w:w="0"/>
        <w:tblLook w:firstColumn="1" w:firstRow="1" w:lastColumn="0" w:lastRow="0" w:noHBand="0" w:noVBand="1" w:val="04A0"/>
      </w:tblPr>
      <w:tblGrid>
        <w:gridCol w:w="2160"/>
        <w:gridCol w:w="2160"/>
        <w:gridCol w:w="2160"/>
        <w:gridCol w:w="2160"/>
      </w:tblGrid>
      <w:tr>
        <w:tc>
          <w:tcPr>
            <w:tcW w:type="dxa" w:w="2160"/>
          </w:tcPr>
          <w:p>
            <w:r/>
            <w:r>
              <w:rPr>
                <w:b/>
                <w:sz w:val="18"/>
              </w:rPr>
              <w:t>指标</w:t>
            </w:r>
          </w:p>
        </w:tc>
        <w:tc>
          <w:tcPr>
            <w:tcW w:type="dxa" w:w="2160"/>
          </w:tcPr>
          <w:p>
            <w:r/>
            <w:r>
              <w:rPr>
                <w:b/>
                <w:sz w:val="18"/>
              </w:rPr>
              <w:t>人工翻评</w:t>
            </w:r>
          </w:p>
        </w:tc>
        <w:tc>
          <w:tcPr>
            <w:tcW w:type="dxa" w:w="2160"/>
          </w:tcPr>
          <w:p>
            <w:r/>
            <w:r>
              <w:rPr>
                <w:b/>
                <w:sz w:val="18"/>
              </w:rPr>
              <w:t>SoundInsight</w:t>
            </w:r>
          </w:p>
        </w:tc>
        <w:tc>
          <w:tcPr>
            <w:tcW w:type="dxa" w:w="2160"/>
          </w:tcPr>
          <w:p>
            <w:r/>
            <w:r>
              <w:rPr>
                <w:b/>
                <w:sz w:val="18"/>
              </w:rPr>
              <w:t>说明</w:t>
            </w:r>
          </w:p>
        </w:tc>
      </w:tr>
      <w:tr>
        <w:tc>
          <w:tcPr>
            <w:tcW w:type="dxa" w:w="2160"/>
          </w:tcPr>
          <w:p>
            <w:r/>
            <w:r>
              <w:rPr>
                <w:sz w:val="18"/>
              </w:rPr>
              <w:t>处理 1,000 条评论耗时</w:t>
            </w:r>
          </w:p>
        </w:tc>
        <w:tc>
          <w:tcPr>
            <w:tcW w:type="dxa" w:w="2160"/>
          </w:tcPr>
          <w:p>
            <w:r/>
            <w:r>
              <w:rPr>
                <w:sz w:val="18"/>
              </w:rPr>
              <w:t>8 小时（假设口径）</w:t>
            </w:r>
          </w:p>
        </w:tc>
        <w:tc>
          <w:tcPr>
            <w:tcW w:type="dxa" w:w="2160"/>
          </w:tcPr>
          <w:p>
            <w:r/>
            <w:r>
              <w:rPr>
                <w:sz w:val="18"/>
              </w:rPr>
              <w:t>约 1.8 秒（本地 GPU 实测 1.763 s／1000 条；CPU 28.4 秒）</w:t>
            </w:r>
          </w:p>
        </w:tc>
        <w:tc>
          <w:tcPr>
            <w:tcW w:type="dxa" w:w="2160"/>
          </w:tcPr>
          <w:p>
            <w:r/>
            <w:r>
              <w:rPr>
                <w:sz w:val="18"/>
              </w:rPr>
              <w:t>&gt;99.9%</w:t>
            </w:r>
          </w:p>
        </w:tc>
      </w:tr>
      <w:tr>
        <w:tc>
          <w:tcPr>
            <w:tcW w:type="dxa" w:w="2160"/>
          </w:tcPr>
          <w:p>
            <w:r/>
            <w:r>
              <w:rPr>
                <w:sz w:val="18"/>
              </w:rPr>
              <w:t>人力成本（按 30 元／小时，假设口径）</w:t>
            </w:r>
          </w:p>
        </w:tc>
        <w:tc>
          <w:tcPr>
            <w:tcW w:type="dxa" w:w="2160"/>
          </w:tcPr>
          <w:p>
            <w:r/>
            <w:r>
              <w:rPr>
                <w:sz w:val="18"/>
              </w:rPr>
              <w:t>240 元（假设口径）</w:t>
            </w:r>
          </w:p>
        </w:tc>
        <w:tc>
          <w:tcPr>
            <w:tcW w:type="dxa" w:w="2160"/>
          </w:tcPr>
          <w:p>
            <w:r/>
            <w:r>
              <w:rPr>
                <w:sz w:val="18"/>
              </w:rPr>
              <w:t>0 元（本地推理，无 API 费用）</w:t>
            </w:r>
          </w:p>
        </w:tc>
        <w:tc>
          <w:tcPr>
            <w:tcW w:type="dxa" w:w="2160"/>
          </w:tcPr>
          <w:p>
            <w:r/>
            <w:r>
              <w:rPr>
                <w:sz w:val="18"/>
              </w:rPr>
              <w:t>100%</w:t>
            </w:r>
          </w:p>
        </w:tc>
      </w:tr>
      <w:tr>
        <w:tc>
          <w:tcPr>
            <w:tcW w:type="dxa" w:w="2160"/>
          </w:tcPr>
          <w:p>
            <w:r>
              <w:rPr>
                <w:b w:val="0"/>
              </w:rPr>
              <w:t>声学抱怨识别（</w:t>
            </w:r>
            <w:r>
              <w:rPr>
                <w:b/>
              </w:rPr>
              <w:t>分布内·历史世代 v2</w:t>
            </w:r>
            <w:r>
              <w:rPr>
                <w:b w:val="0"/>
              </w:rPr>
              <w:t>）</w:t>
            </w:r>
          </w:p>
        </w:tc>
        <w:tc>
          <w:tcPr>
            <w:tcW w:type="dxa" w:w="2160"/>
          </w:tcPr>
          <w:p>
            <w:r/>
            <w:r>
              <w:rPr>
                <w:sz w:val="18"/>
              </w:rPr>
              <w:t>依赖经验、易遗漏</w:t>
            </w:r>
          </w:p>
        </w:tc>
        <w:tc>
          <w:tcPr>
            <w:tcW w:type="dxa" w:w="2160"/>
          </w:tcPr>
          <w:p>
            <w:r>
              <w:rPr>
                <w:b w:val="0"/>
              </w:rPr>
              <w:t>F1@调优 = 0.7220[v2]；高召回档 F1@0.5 = 0.7206[v2]——</w:t>
            </w:r>
            <w:r>
              <w:rPr>
                <w:b/>
              </w:rPr>
              <w:t>此为历史世代读数，出厂权重已非 v2</w:t>
            </w:r>
          </w:p>
        </w:tc>
        <w:tc>
          <w:tcPr>
            <w:tcW w:type="dxa" w:w="2160"/>
          </w:tcPr>
          <w:p>
            <w:r/>
            <w:r>
              <w:rPr>
                <w:sz w:val="18"/>
              </w:rPr>
              <w:t>可量化、可复算</w:t>
            </w:r>
          </w:p>
        </w:tc>
      </w:tr>
      <w:tr>
        <w:tc>
          <w:tcPr>
            <w:tcW w:type="dxa" w:w="2160"/>
          </w:tcPr>
          <w:p>
            <w:r>
              <w:rPr>
                <w:b/>
              </w:rPr>
              <w:t>声学抱怨识别（分布外测量）</w:t>
            </w:r>
          </w:p>
        </w:tc>
        <w:tc>
          <w:tcPr>
            <w:tcW w:type="dxa" w:w="2160"/>
          </w:tcPr>
          <w:p>
            <w:r/>
            <w:r>
              <w:rPr>
                <w:sz w:val="18"/>
              </w:rPr>
              <w:t>—</w:t>
            </w:r>
          </w:p>
        </w:tc>
        <w:tc>
          <w:tcPr>
            <w:tcW w:type="dxa" w:w="2160"/>
          </w:tcPr>
          <w:p>
            <w:r>
              <w:rPr>
                <w:b w:val="0"/>
              </w:rPr>
              <w:t xml:space="preserve">干净池 </w:t>
            </w:r>
            <w:r>
              <w:rPr>
                <w:b/>
              </w:rPr>
              <w:t>14,299 条</w:t>
            </w:r>
            <w:r>
              <w:rPr>
                <w:b w:val="0"/>
              </w:rPr>
              <w:t xml:space="preserve">（留出侧＋闸门外＋未训练＋未判过）触发：v1 </w:t>
            </w:r>
            <w:r>
              <w:rPr>
                <w:b/>
              </w:rPr>
              <w:t>15 条 = 0.105%</w:t>
            </w:r>
            <w:r>
              <w:rPr>
                <w:b w:val="0"/>
              </w:rPr>
              <w:t>（Wilson 95% CI 0.064%–0.173%）；</w:t>
            </w:r>
            <w:r>
              <w:rPr>
                <w:b/>
              </w:rPr>
              <w:t>判别器同池 16 条 = 0.112%</w:t>
            </w:r>
            <w:r>
              <w:rPr>
                <w:b w:val="0"/>
              </w:rPr>
              <w:t>（逐条留档见 docs/gold_set/clean_pool_disc_items.csv）；同期人工真值率约 1% 量级</w:t>
            </w:r>
          </w:p>
        </w:tc>
        <w:tc>
          <w:tcPr>
            <w:tcW w:type="dxa" w:w="2160"/>
          </w:tcPr>
          <w:p>
            <w:r/>
            <w:r>
              <w:rPr>
                <w:sz w:val="18"/>
              </w:rPr>
            </w:r>
          </w:p>
        </w:tc>
      </w:tr>
    </w:tbl>
    <w:p>
      <w:r>
        <w:rPr>
          <w:b/>
        </w:rPr>
        <w:t>提示召回显著偏低；与上一行不可混用；详见附录 C 第 11 条</w:t>
      </w:r>
      <w:r>
        <w:rPr>
          <w:b w:val="0"/>
        </w:rPr>
        <w:t xml:space="preserve"> |</w:t>
      </w:r>
    </w:p>
    <w:tbl>
      <w:tblPr>
        <w:tblStyle w:val="33"/>
        <w:tblW w:type="auto" w:w="0"/>
        <w:tblLook w:firstColumn="1" w:firstRow="1" w:lastColumn="0" w:lastRow="0" w:noHBand="0" w:noVBand="1" w:val="04A0"/>
      </w:tblPr>
      <w:tblGrid>
        <w:gridCol w:w="2160"/>
        <w:gridCol w:w="2160"/>
        <w:gridCol w:w="2160"/>
        <w:gridCol w:w="2160"/>
      </w:tblGrid>
      <w:tr>
        <w:tc>
          <w:tcPr>
            <w:tcW w:type="dxa" w:w="2160"/>
          </w:tcPr>
          <w:p>
            <w:r/>
            <w:r>
              <w:rPr>
                <w:b/>
                <w:sz w:val="18"/>
              </w:rPr>
              <w:t>问题归因</w:t>
            </w:r>
          </w:p>
        </w:tc>
        <w:tc>
          <w:tcPr>
            <w:tcW w:type="dxa" w:w="2160"/>
          </w:tcPr>
          <w:p>
            <w:r/>
            <w:r>
              <w:rPr>
                <w:b/>
                <w:sz w:val="18"/>
              </w:rPr>
              <w:t>无法系统分类</w:t>
            </w:r>
          </w:p>
        </w:tc>
        <w:tc>
          <w:tcPr>
            <w:tcW w:type="dxa" w:w="2160"/>
          </w:tcPr>
          <w:p>
            <w:r>
              <w:rPr>
                <w:b w:val="0"/>
              </w:rPr>
              <w:t>五类自动归因；</w:t>
            </w:r>
            <w:r>
              <w:rPr>
                <w:b/>
              </w:rPr>
              <w:t>人工口径宏 F1 0.52–0.44</w:t>
            </w:r>
            <w:r>
              <w:rPr>
                <w:b w:val="0"/>
              </w:rPr>
              <w:t>（对 LLM 标签为 0.8273[v2]，两者不可混用）；逐类不均衡：低音 0.82／杂音 0.56／音量 0.57／</w:t>
            </w:r>
            <w:r>
              <w:rPr>
                <w:b/>
              </w:rPr>
              <w:t>清晰度 0.23</w:t>
            </w:r>
            <w:r>
              <w:rPr>
                <w:b w:val="0"/>
              </w:rPr>
              <w:t>／</w:t>
            </w:r>
            <w:r>
              <w:rPr>
                <w:b/>
              </w:rPr>
              <w:t>高音 0.00</w:t>
            </w:r>
          </w:p>
        </w:tc>
        <w:tc>
          <w:tcPr>
            <w:tcW w:type="dxa" w:w="2160"/>
          </w:tcPr>
          <w:p>
            <w:r>
              <w:rPr>
                <w:b w:val="0"/>
              </w:rPr>
              <w:t>从无到有，但</w:t>
            </w:r>
            <w:r>
              <w:rPr>
                <w:b/>
              </w:rPr>
              <w:t>归因可靠性中等</w:t>
            </w:r>
            <w:r>
              <w:rPr>
                <w:b w:val="0"/>
              </w:rPr>
              <w:t>，报告中的类别需人工复核</w:t>
            </w:r>
          </w:p>
        </w:tc>
      </w:tr>
      <w:tr>
        <w:tc>
          <w:tcPr>
            <w:tcW w:type="dxa" w:w="2160"/>
          </w:tcPr>
          <w:p>
            <w:r>
              <w:rPr>
                <w:b/>
              </w:rPr>
              <w:t>音质抱怨分诊（范围内，本产品的核心承诺）</w:t>
            </w:r>
          </w:p>
        </w:tc>
        <w:tc>
          <w:tcPr>
            <w:tcW w:type="dxa" w:w="2160"/>
          </w:tcPr>
          <w:p>
            <w:r/>
            <w:r>
              <w:rPr>
                <w:sz w:val="18"/>
              </w:rPr>
              <w:t>依赖经验、易遗漏</w:t>
            </w:r>
          </w:p>
        </w:tc>
        <w:tc>
          <w:tcPr>
            <w:tcW w:type="dxa" w:w="2160"/>
          </w:tcPr>
          <w:p>
            <w:r>
              <w:rPr>
                <w:b/>
              </w:rPr>
              <w:t>人工盲判：精确率 75–78%、召回 68.3%（95% CI 46–100%）</w:t>
            </w:r>
            <w:r>
              <w:rPr>
                <w:b w:val="0"/>
              </w:rPr>
              <w:t>（两张独立样本各 50 条；同条目捕获 39/41，对照 v1 34/41、v2 26/41）——</w:t>
            </w:r>
            <w:r>
              <w:rPr>
                <w:b/>
              </w:rPr>
              <w:t>注意：人工口径建立在一人判读之上（人对人一致率 82–84%、κ 0.33）</w:t>
            </w:r>
            <w:r>
              <w:rPr>
                <w:b w:val="0"/>
              </w:rPr>
              <w:t>；出厂模型＝</w:t>
            </w:r>
            <w:r>
              <w:rPr>
                <w:b/>
              </w:rPr>
              <w:t>判别器</w:t>
            </w:r>
            <w:r>
              <w:rPr>
                <w:b w:val="0"/>
              </w:rPr>
              <w:t>，LLM 标签口径的旧读数（v1 的 P75.0/R87.5）见附录 C 第 16 条历史段</w:t>
            </w:r>
          </w:p>
        </w:tc>
        <w:tc>
          <w:tcPr>
            <w:tcW w:type="dxa" w:w="2160"/>
          </w:tcPr>
          <w:p>
            <w:r>
              <w:rPr>
                <w:b w:val="0"/>
              </w:rPr>
              <w:t>关键词明确的部分</w:t>
            </w:r>
            <w:r>
              <w:rPr>
                <w:b/>
              </w:rPr>
              <w:t>精确率约 3/4、覆盖约 2/3</w:t>
            </w:r>
            <w:r>
              <w:rPr>
                <w:b w:val="0"/>
              </w:rPr>
              <w:t>；漏报为结构性（降阈值不可改善），见附录 C 第 16 条</w:t>
            </w:r>
          </w:p>
        </w:tc>
      </w:tr>
      <w:tr>
        <w:tc>
          <w:tcPr>
            <w:tcW w:type="dxa" w:w="2160"/>
          </w:tcPr>
          <w:p>
            <w:r/>
            <w:r>
              <w:rPr>
                <w:sz w:val="18"/>
              </w:rPr>
              <w:t>结论可执行性</w:t>
            </w:r>
          </w:p>
        </w:tc>
        <w:tc>
          <w:tcPr>
            <w:tcW w:type="dxa" w:w="2160"/>
          </w:tcPr>
          <w:p>
            <w:r/>
            <w:r>
              <w:rPr>
                <w:sz w:val="18"/>
              </w:rPr>
              <w:t>人工经验判断</w:t>
            </w:r>
          </w:p>
        </w:tc>
        <w:tc>
          <w:tcPr>
            <w:tcW w:type="dxa" w:w="2160"/>
          </w:tcPr>
          <w:p>
            <w:r/>
            <w:r>
              <w:rPr>
                <w:sz w:val="18"/>
              </w:rPr>
              <w:t>每条结论带置信度档位与建议动作（高／中／低三档）</w:t>
            </w:r>
          </w:p>
        </w:tc>
        <w:tc>
          <w:tcPr>
            <w:tcW w:type="dxa" w:w="2160"/>
          </w:tcPr>
          <w:p>
            <w:r/>
            <w:r>
              <w:rPr>
                <w:sz w:val="18"/>
              </w:rPr>
              <w:t>可直接进入整改评审</w:t>
            </w:r>
          </w:p>
        </w:tc>
      </w:tr>
    </w:tbl>
    <w:p>
      <w:r>
        <w:rPr>
          <w:b w:val="0"/>
        </w:rPr>
        <w:t>注：覆盖率在不同小节出现多个数值（如 2,460–2,730／2,461-2,826／51.5–58.5%），系</w:t>
      </w:r>
      <w:r>
        <w:rPr>
          <w:b/>
        </w:rPr>
        <w:t>分母口径不同</w:t>
      </w:r>
      <w:r>
        <w:rPr>
          <w:b w:val="0"/>
        </w:rPr>
        <w:t>（按全部评论／按有效评论／按闸门内评论）所致，</w:t>
      </w:r>
      <w:r>
        <w:rPr>
          <w:b/>
        </w:rPr>
        <w:t>以附录 C 第 6 条的口径为准</w:t>
      </w:r>
      <w:r>
        <w:rPr>
          <w:b w:val="0"/>
        </w:rPr>
        <w:t>，不存在两个互相矛盾的覆盖率。</w:t>
      </w:r>
    </w:p>
    <w:tbl>
      <w:tblPr>
        <w:tblStyle w:val="33"/>
        <w:tblW w:type="auto" w:w="0"/>
        <w:tblLook w:firstColumn="1" w:firstRow="1" w:lastColumn="0" w:lastRow="0" w:noHBand="0" w:noVBand="1" w:val="04A0"/>
      </w:tblPr>
      <w:tblGrid>
        <w:gridCol w:w="2160"/>
        <w:gridCol w:w="2160"/>
        <w:gridCol w:w="2160"/>
        <w:gridCol w:w="2160"/>
      </w:tblGrid>
      <w:tr>
        <w:tc>
          <w:tcPr>
            <w:tcW w:type="dxa" w:w="2160"/>
          </w:tcPr>
          <w:p>
            <w:r/>
            <w:r>
              <w:rPr>
                <w:b/>
                <w:sz w:val="18"/>
              </w:rPr>
              <w:t>归因的类目缺口</w:t>
            </w:r>
          </w:p>
        </w:tc>
        <w:tc>
          <w:tcPr>
            <w:tcW w:type="dxa" w:w="2160"/>
          </w:tcPr>
          <w:p>
            <w:r/>
            <w:r>
              <w:rPr>
                <w:b/>
                <w:sz w:val="18"/>
              </w:rPr>
              <w:t>—</w:t>
            </w:r>
          </w:p>
        </w:tc>
        <w:tc>
          <w:tcPr>
            <w:tcW w:type="dxa" w:w="2160"/>
          </w:tcPr>
          <w:p>
            <w:r>
              <w:rPr>
                <w:b/>
              </w:rPr>
              <w:t>降噪类抱怨在五类中没有对应类别</w:t>
            </w:r>
            <w:r>
              <w:rPr>
                <w:b w:val="0"/>
              </w:rPr>
              <w:t>（二分类上算音质、归因上无处安放）</w:t>
            </w:r>
          </w:p>
        </w:tc>
        <w:tc>
          <w:tcPr>
            <w:tcW w:type="dxa" w:w="2160"/>
          </w:tcPr>
          <w:p>
            <w:r/>
            <w:r>
              <w:rPr>
                <w:b/>
                <w:sz w:val="18"/>
              </w:rPr>
              <w:t>已在附录 C 第 12 条披露</w:t>
            </w:r>
          </w:p>
        </w:tc>
      </w:tr>
    </w:tbl>
    <w:p>
      <w:r>
        <w:rPr>
          <w:b w:val="0"/>
        </w:rPr>
        <w:t>注：上一行性能指标在 v2 留出集（val_v3_test，n=10,000、正例 128）上测得，与 v1 复赛数字（val_v2）样本集不同、不可直比；v1 值见附录 C。</w:t>
      </w:r>
      <w:r>
        <w:rPr>
          <w:b/>
        </w:rPr>
        <w:t>「分布外测量」一行的分母是构造池（留出侧＋闸门外＋未训练＋未判过），三个成分须与数字同屏引用</w:t>
      </w:r>
      <w:r>
        <w:rPr>
          <w:b w:val="0"/>
        </w:rPr>
        <w:t>；该测试集 128 条正例中 80 条并非耳机音质差评（见附录 C 第 9 条），世代钉死与撤回记录见 docs/split_manifest.md 与附录 C 第 11 条。</w:t>
      </w:r>
    </w:p>
    <w:p w14:paraId="7CDC0FE8"/>
    <w:p w14:paraId="621B8053">
      <w:r>
        <w:rPr>
          <w:rFonts w:hint="eastAsia"/>
        </w:rPr>
        <w:t>3.4 市场前景与落地可行性</w:t>
      </w:r>
    </w:p>
    <w:p>
      <w:r>
        <w:t>市场规模：全球耳机市场约 280 亿美元（Statista 2025，二手来源，引用请注明）；亚马逊耳机类目年评论量超 5,000 万条。</w:t>
      </w:r>
    </w:p>
    <w:p>
      <w:r>
        <w:t>目标用户结构：中小卖家占比约 70%，其中约 90% 无专职数据分析师（同上，二手来源）。</w:t>
      </w:r>
    </w:p>
    <w:p>
      <w:r>
        <w:rPr>
          <w:b w:val="0"/>
        </w:rPr>
        <w:t>品类可迁移性：RLCA 标注框架 ＋ 微调流程可迁移；</w:t>
      </w:r>
      <w:r>
        <w:rPr>
          <w:b/>
        </w:rPr>
        <w:t>2026-10-06 已完成一次跨品类实证</w:t>
      </w:r>
      <w:r>
        <w:rPr>
          <w:b w:val="0"/>
        </w:rPr>
        <w:t>（音箱：冻结留出 612 条、</w:t>
      </w:r>
      <w:r>
        <w:rPr>
          <w:b/>
        </w:rPr>
        <w:t>F1@0.5 0.9565</w:t>
      </w:r>
      <w:r>
        <w:rPr>
          <w:b w:val="0"/>
        </w:rPr>
        <w:t>，底座＝出厂判别器、训练 40 分钟；</w:t>
      </w:r>
      <w:r>
        <w:rPr>
          <w:b/>
        </w:rPr>
        <w:t>人工口径：精确率 71.4%（30/42 普查，CI 56–83%）；召回：</w:t>
      </w:r>
      <w:r>
        <w:rPr>
          <w:b w:val="0"/>
        </w:rPr>
        <w:t>未触发样本 0/50 为真阳</w:t>
      </w:r>
      <w:r>
        <w:rPr>
          <w:b/>
        </w:rPr>
        <w:t>（点估计 100%、下界 46.9%，区间宽——</w:t>
      </w:r>
      <w:r>
        <w:rPr>
          <w:b w:val="0"/>
        </w:rPr>
        <w:t>不可读作「没有漏判」</w:t>
      </w:r>
      <w:r>
        <w:rPr>
          <w:b/>
        </w:rPr>
        <w:t>）</w:t>
      </w:r>
      <w:r>
        <w:rPr>
          <w:b w:val="0"/>
        </w:rPr>
        <w:t>；LLM 标签口径 P 97.8／R 93.6，两套不可混用）；迁移成本可量化，见附录 F。</w:t>
      </w:r>
    </w:p>
    <w:p>
      <w:r>
        <w:t>商业模式：开源版（社区）→ SaaS 版（订阅）→ 企业版（私有化部署，数据不出境）。</w:t>
      </w:r>
    </w:p>
    <w:p w14:paraId="4EB2BE33"/>
    <w:p w14:paraId="2D76DB01">
      <w:pPr>
        <w:pStyle w:val="3"/>
      </w:pPr>
      <w:r>
        <w:rPr>
          <w:rFonts w:hint="eastAsia"/>
        </w:rPr>
        <w:t>四、产品功能与使用说明</w:t>
      </w:r>
    </w:p>
    <w:p w14:paraId="3FF79D75">
      <w:r>
        <w:rPr>
          <w:rFonts w:hint="eastAsia" w:ascii="Times New Roman" w:hAnsi="Times New Roman" w:eastAsia="黑体"/>
          <w:b/>
          <w:sz w:val="24"/>
        </w:rPr>
        <w:t>4.1 产品简介</w:t>
      </w:r>
    </w:p>
    <w:p>
      <w:r>
        <w:rPr>
          <w:b w:val="0"/>
        </w:rPr>
        <w:t>SoundInsight 是一款面向跨境电商耳机卖家的</w:t>
      </w:r>
      <w:r>
        <w:rPr>
          <w:b/>
        </w:rPr>
        <w:t>声学相关抱怨</w:t>
      </w:r>
      <w:r>
        <w:rPr>
          <w:b w:val="0"/>
        </w:rPr>
        <w:t>智能归因系统，自动识别评论中的音质负面反馈（口径与边界见附录 C 第 8–10 条），并归因到低音、清晰度、杂音、音量、高音五类问题，输出可执行的洞察报告。</w:t>
      </w:r>
    </w:p>
    <w:p>
      <w:r>
        <w:rPr>
          <w:b/>
        </w:rPr>
        <w:t>产品定位（一句话，2026-10-03 定）</w:t>
      </w:r>
      <w:r>
        <w:rPr>
          <w:b w:val="0"/>
        </w:rPr>
        <w:t>：SoundInsight 是</w:t>
      </w:r>
      <w:r>
        <w:rPr>
          <w:b/>
        </w:rPr>
        <w:t>分诊与预警工具</w:t>
      </w:r>
      <w:r>
        <w:rPr>
          <w:b w:val="0"/>
        </w:rPr>
        <w:t>——它把「哪些评论值得先看」排出来，</w:t>
      </w:r>
      <w:r>
        <w:rPr>
          <w:b/>
        </w:rPr>
        <w:t>不是</w:t>
      </w:r>
      <w:r>
        <w:rPr>
          <w:b w:val="0"/>
        </w:rPr>
        <w:t>自动归因终审：模型告警的精确率在干净口径下为 0.25–0.33（每 3 条告警约 2 条需人工排除），故产品设计为「排序＋置信度档位＋建议动作」，最终判断仍由人做。</w:t>
      </w:r>
    </w:p>
    <w:p>
      <w:r>
        <w:t>差异化定位：与退货根因分析类工具不同，本系统做的是文本内的细粒度归因——把主观听感映射到可复算的问题类别与型号分布上，并把每一步数字做成可审计的证据链（见第六节与附录）。</w:t>
      </w:r>
    </w:p>
    <w:p w14:paraId="1F2506C0"/>
    <w:p w14:paraId="23D2B069">
      <w:r>
        <w:rPr>
          <w:rFonts w:hint="eastAsia" w:ascii="Times New Roman" w:hAnsi="Times New Roman" w:eastAsia="黑体"/>
          <w:b/>
          <w:sz w:val="24"/>
        </w:rPr>
        <w:t>4.2 核心功能清单</w:t>
      </w:r>
    </w:p>
    <w:p>
      <w:r>
        <w:t>1）单条评论判定：输入评论文本，输出音质负面概率与五类问题类别；</w:t>
      </w:r>
    </w:p>
    <w:p>
      <w:r>
        <w:t>2）批量 CSV 分析：上传评论文件，输出六节完整报告（总体概况／问题分布含占比与优先级／典型案例附五类归因概率／行动建议／验证指标／置信度档位与建议动作），可下载报告文件；</w:t>
      </w:r>
    </w:p>
    <w:p>
      <w:r>
        <w:rPr>
          <w:b w:val="0"/>
        </w:rPr>
        <w:t>4）</w:t>
      </w:r>
      <w:r>
        <w:rPr>
          <w:b/>
        </w:rPr>
        <w:t>三档输出</w:t>
      </w:r>
      <w:r>
        <w:rPr>
          <w:b w:val="0"/>
        </w:rPr>
        <w:t>：优先处理档（人工盲判精确率 75–78%、召回 68.3%）／待复核档／范围外档——</w:t>
      </w:r>
      <w:r>
        <w:rPr>
          <w:b/>
        </w:rPr>
        <w:t>档位名后的数字来自人工告警样本，引用时不得省略</w:t>
      </w:r>
      <w:r>
        <w:rPr>
          <w:b w:val="0"/>
        </w:rPr>
        <w:t>；范围外档明确标注「未判定 ≠ 正常」；</w:t>
      </w:r>
    </w:p>
    <w:p>
      <w:r>
        <w:rPr>
          <w:b w:val="0"/>
        </w:rPr>
        <w:t>5）</w:t>
      </w:r>
      <w:r>
        <w:rPr>
          <w:b/>
        </w:rPr>
        <w:t>非音质差评的类型分布（初步）</w:t>
      </w:r>
      <w:r>
        <w:rPr>
          <w:b w:val="0"/>
        </w:rPr>
        <w:t>：对非音质的差评给出反馈类型（连接/配对、续航/充电、做工/耐用、佩戴/舒适、麦克风/通话、功能/操作、物流/包装、价格/性价比、客服/售后、描述不符/假货、其他）——</w:t>
      </w:r>
      <w:r>
        <w:rPr>
          <w:b/>
        </w:rPr>
        <w:t>本地模型、零 API</w:t>
      </w:r>
      <w:r>
        <w:rPr>
          <w:b w:val="0"/>
        </w:rPr>
        <w:t>，训练自 LLM 标签，</w:t>
      </w:r>
      <w:r>
        <w:rPr>
          <w:b/>
        </w:rPr>
        <w:t>尚未经人工校准</w:t>
      </w:r>
      <w:r>
        <w:rPr>
          <w:b w:val="0"/>
        </w:rPr>
        <w:t>，用于分诊而非结论；</w:t>
      </w:r>
    </w:p>
    <w:p>
      <w:r>
        <w:rPr>
          <w:b w:val="0"/>
        </w:rPr>
        <w:t>6）</w:t>
      </w:r>
      <w:r>
        <w:rPr>
          <w:b/>
        </w:rPr>
        <w:t>产品品类判定（仅作展示，默认不过滤）</w:t>
      </w:r>
      <w:r>
        <w:rPr>
          <w:b w:val="0"/>
        </w:rPr>
        <w:t>：本地品类模型（留出段 acc 0.677、耳机家族合并精确率 0.885／召回 0.780）；</w:t>
      </w:r>
      <w:r>
        <w:rPr>
          <w:b/>
        </w:rPr>
        <w:t>实测过滤取舍不划算</w:t>
      </w:r>
      <w:r>
        <w:rPr>
          <w:b w:val="0"/>
        </w:rPr>
        <w:t>——精确率 37.5%→53.8%，但丢弃人工真阳 8/15＝53%，故 scope_filter 默认关闭；</w:t>
      </w:r>
    </w:p>
    <w:p>
      <w:r>
        <w:rPr>
          <w:b w:val="0"/>
        </w:rPr>
        <w:t>7）</w:t>
      </w:r>
      <w:r>
        <w:rPr>
          <w:b/>
        </w:rPr>
        <w:t>不可归因原因</w:t>
      </w:r>
      <w:r>
        <w:rPr>
          <w:b w:val="0"/>
        </w:rPr>
        <w:t>：对提到声音却说不清的评论，给出原因（表述模糊／只提降噪（五类之外）／功能故障而非音质／弱褒奖非抱怨／非耳机产品／信息不足）——同样为本地模型、待人工校准；</w:t>
      </w:r>
    </w:p>
    <w:p>
      <w:r>
        <w:t>3）一键洞察 Agent：python soundinsight_agent.py --csv 文件.csv，与 Demo 共用同一报告模块（report_builder.py），口径完全一致，支持 Markdown／Excel 与中英双语；</w:t>
      </w:r>
    </w:p>
    <w:p>
      <w:r>
        <w:t>4）型号级聚合与趋势预警（v2 新增）：按 parent_asin 汇总差评率 Top-N（样本量门槛 ≥10 条），按月度追踪波动并给出告警阈值。</w:t>
      </w:r>
    </w:p>
    <w:p w14:paraId="640D1488">
      <w:r>
        <w:rPr>
          <w:rFonts w:hint="eastAsia" w:ascii="Times New Roman" w:hAnsi="Times New Roman" w:eastAsia="黑体"/>
          <w:b/>
          <w:sz w:val="24"/>
        </w:rPr>
        <w:t>4.3 使用说明</w:t>
      </w:r>
    </w:p>
    <w:p>
      <w:r>
        <w:rPr>
          <w:b w:val="0"/>
        </w:rPr>
        <w:t>安装：pip install -r requirements.txt；启动 Demo：python demo_sound_v2.py；启动 Agent：python soundinsight_agent.py --csv test.csv；HTTP API：uvicorn api_server:app（默认 127.0.0.1:7860）；GET /health 返回状态与阈值，POST /predict 请求体为 {"texts": ["评论1", "评论2"]}，返回 n／n_negative／n_unsupported／results[]（每条含 prob、pred、issues）。</w:t>
      </w:r>
    </w:p>
    <w:p>
      <w:r>
        <w:t>在线 Demo：ModelScope 创空间 https://modelscope.cn/studios/DaiYanQBZ95Doll/SoundInsight（应用直链 https://daiyanqbz95doll-soundinsight.ms.show）。</w:t>
      </w:r>
    </w:p>
    <w:p>
      <w:r>
        <w:t>截图：单条判定页、批量分析页、Agent 报告页（各 1 张，见附件其他材料）。</w:t>
      </w:r>
    </w:p>
    <w:p w14:paraId="6CC079CF"/>
    <w:p w14:paraId="36C71A85">
      <w:r>
        <w:t>————————————————————————————————————————</w:t>
      </w:r>
    </w:p>
    <w:p w14:paraId="67FD152A">
      <w:pPr>
        <w:pStyle w:val="3"/>
      </w:pPr>
      <w:r>
        <w:rPr>
          <w:rFonts w:hint="eastAsia"/>
        </w:rPr>
        <w:t>五、技术架构及调用模型说明</w:t>
      </w:r>
    </w:p>
    <w:p w14:paraId="139BAF1E">
      <w:r>
        <w:rPr>
          <w:rFonts w:hint="eastAsia" w:ascii="Times New Roman" w:hAnsi="Times New Roman" w:eastAsia="黑体"/>
          <w:b/>
          <w:sz w:val="24"/>
        </w:rPr>
        <w:t>5.1 系统架构图</w:t>
      </w:r>
    </w:p>
    <w:p>
      <w:r>
        <w:t>见 architecture.png。文字链路：</w:t>
      </w:r>
    </w:p>
    <w:p>
      <w:r>
        <w:t>[Amazon 评论数据 10 万条] → [RLCA 两阶段标注] → [DistilBERT 二分类 + 五类多标签归因] → [Agent 报告／Gradio Demo／HTTP API]。</w:t>
      </w:r>
    </w:p>
    <w:p>
      <w:r>
        <w:t>标注层：关键词规则初筛 → LLM 逐条复核去伪 → 三星／四五星补漏复核；模型层：1:10 欠采样、阈值扫描、5 折交叉验证；评测层：tune/test 分离（阈值只在调参划分上选）、长度分桶、校准评估、统计检验。</w:t>
      </w:r>
    </w:p>
    <w:p w14:paraId="6C0A6E70"/>
    <w:p w14:paraId="15932490">
      <w:r>
        <w:rPr>
          <w:rFonts w:hint="eastAsia" w:ascii="Times New Roman" w:hAnsi="Times New Roman" w:eastAsia="黑体"/>
          <w:b/>
          <w:sz w:val="24"/>
        </w:rPr>
        <w:t>5.2 调用的阿里云百炼模型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A6766DD">
        <w:tc>
          <w:tcPr>
            <w:tcW w:w="2880" w:type="dxa"/>
          </w:tcPr>
          <w:p w14:paraId="5738C949">
            <w:pPr>
              <w:spacing w:after="0" w:line="240" w:lineRule="auto"/>
            </w:pPr>
            <w:r>
              <w:rPr>
                <w:rFonts w:hint="eastAsia" w:ascii="Times New Roman" w:hAnsi="Times New Roman" w:eastAsia="宋体"/>
                <w:b/>
                <w:sz w:val="21"/>
              </w:rPr>
              <w:t>模型标识</w:t>
            </w:r>
          </w:p>
        </w:tc>
        <w:tc>
          <w:tcPr>
            <w:tcW w:w="2880" w:type="dxa"/>
          </w:tcPr>
          <w:p w14:paraId="12C39BD8">
            <w:pPr>
              <w:spacing w:after="0" w:line="240" w:lineRule="auto"/>
            </w:pPr>
            <w:r>
              <w:rPr>
                <w:rFonts w:hint="eastAsia" w:ascii="Times New Roman" w:hAnsi="Times New Roman" w:eastAsia="宋体"/>
                <w:b/>
                <w:sz w:val="21"/>
              </w:rPr>
              <w:t>用途</w:t>
            </w:r>
          </w:p>
        </w:tc>
        <w:tc>
          <w:tcPr>
            <w:tcW w:w="2880" w:type="dxa"/>
          </w:tcPr>
          <w:p w14:paraId="58544FCE">
            <w:pPr>
              <w:spacing w:after="0" w:line="240" w:lineRule="auto"/>
            </w:pPr>
            <w:r>
              <w:rPr>
                <w:rFonts w:hint="eastAsia" w:ascii="Times New Roman" w:hAnsi="Times New Roman" w:eastAsia="宋体"/>
                <w:b/>
                <w:sz w:val="21"/>
              </w:rPr>
              <w:t>调用方式/链接链</w:t>
            </w:r>
          </w:p>
        </w:tc>
      </w:tr>
      <w:tr w14:paraId="11FDC30F">
        <w:tc>
          <w:tcPr>
            <w:tcW w:w="2880" w:type="dxa"/>
          </w:tcPr>
          <w:p>
            <w:r/>
            <w:r>
              <w:t>qwen3.7-plus</w:t>
            </w:r>
          </w:p>
        </w:tc>
        <w:tc>
          <w:tcPr>
            <w:tcW w:w="2880" w:type="dxa"/>
          </w:tcPr>
          <w:p>
            <w:r/>
            <w:r>
              <w:t>跨 LLM 稳健性对照实验（零样本／5-shot／复核；评审用途，非产品推理）</w:t>
            </w:r>
          </w:p>
        </w:tc>
        <w:tc>
          <w:tcPr>
            <w:tcW w:w="2880" w:type="dxa"/>
          </w:tcPr>
          <w:p>
            <w:r/>
            <w:r>
              <w:t>阿里云百炼 Token Plan API（OpenAI 兼容基地址 https://token-plan.cn-beijing.maas.aliyuncs.com/compatible-mode/v1）</w:t>
            </w:r>
          </w:p>
        </w:tc>
      </w:tr>
      <w:tr w14:paraId="6CA8C220">
        <w:tc>
          <w:tcPr>
            <w:tcW w:w="2880" w:type="dxa"/>
          </w:tcPr>
          <w:p>
            <w:r/>
            <w:r>
              <w:t>deepseek-chat</w:t>
            </w:r>
          </w:p>
        </w:tc>
        <w:tc>
          <w:tcPr>
            <w:tcW w:w="2880" w:type="dxa"/>
          </w:tcPr>
          <w:p>
            <w:r/>
            <w:r>
              <w:t>RLCA 标注复核 + 跨 LLM 对照实验</w:t>
            </w:r>
          </w:p>
        </w:tc>
        <w:tc>
          <w:tcPr>
            <w:tcW w:w="2880" w:type="dxa"/>
          </w:tcPr>
          <w:p>
            <w:r/>
            <w:r>
              <w:t>DeepSeek 官方 API（https://api.deepseek.com/v1/chat/completions）</w:t>
            </w:r>
          </w:p>
        </w:tc>
      </w:tr>
      <w:tr w14:paraId="752CEC1E">
        <w:tc>
          <w:tcPr>
            <w:tcW w:w="2880" w:type="dxa"/>
          </w:tcPr>
          <w:p w14:paraId="2809FF00">
            <w:pPr>
              <w:spacing w:after="0" w:line="240" w:lineRule="auto"/>
            </w:pPr>
          </w:p>
        </w:tc>
        <w:tc>
          <w:tcPr>
            <w:tcW w:w="2880" w:type="dxa"/>
          </w:tcPr>
          <w:p w14:paraId="07CEB5F4">
            <w:pPr>
              <w:spacing w:after="0" w:line="240" w:lineRule="auto"/>
            </w:pPr>
          </w:p>
        </w:tc>
        <w:tc>
          <w:tcPr>
            <w:tcW w:w="2880" w:type="dxa"/>
          </w:tcPr>
          <w:p w14:paraId="25E8C24C">
            <w:pPr>
              <w:spacing w:after="0" w:line="240" w:lineRule="auto"/>
            </w:pPr>
          </w:p>
        </w:tc>
      </w:tr>
    </w:tbl>
    <w:p w14:paraId="725C091A"/>
    <w:p w14:paraId="3BE4973C">
      <w:r>
        <w:rPr>
          <w:rFonts w:hint="eastAsia" w:ascii="Times New Roman" w:hAnsi="Times New Roman" w:eastAsia="黑体"/>
          <w:b/>
          <w:sz w:val="24"/>
        </w:rPr>
        <w:t>5.3 技术组件说明</w:t>
      </w:r>
    </w:p>
    <w:p>
      <w:r>
        <w:t>前端：Gradio（单条判定／批量分析／边界案例三页）；后端：Python + PyTorch + Transformers；</w:t>
      </w:r>
    </w:p>
    <w:p>
      <w:r>
        <w:t>模型：DistilBERT-base-uncased（66M 参数；权重托管于 ModelScope，见附录 A）；</w:t>
      </w:r>
    </w:p>
    <w:p>
      <w:r>
        <w:t>数据：McAuley Lab Amazon Reviews 2023（AmazonElectronics 类目，10 万条评论）；</w:t>
      </w:r>
    </w:p>
    <w:p>
      <w:r>
        <w:t>标注：RLCA 两阶段流水线（规则初筛 + LLM 全量复核）；</w:t>
      </w:r>
    </w:p>
    <w:p>
      <w:r>
        <w:t>部署：本地 GPU 推理（RTX 4060）与在线 CPU 空间双形态，一键启动；</w:t>
      </w:r>
    </w:p>
    <w:p>
      <w:r>
        <w:rPr>
          <w:b w:val="0"/>
        </w:rPr>
        <w:t>评测与审计：check_doc_numbers.py 数字审计（全部检查项（项数以 number_audit.md 为准）检查／0 FAIL）、scan_repo_hygiene.py 仓库卫生扫描（密钥 0）、test_audit_checks.py 负向自测（15 项）。</w:t>
      </w:r>
    </w:p>
    <w:p w14:paraId="40B675EE"/>
    <w:p w14:paraId="75F9A8E5">
      <w:r>
        <w:t>————————————————————————————————————————</w:t>
      </w:r>
    </w:p>
    <w:p w14:paraId="6235A69F">
      <w:pPr>
        <w:pStyle w:val="3"/>
      </w:pPr>
      <w:r>
        <w:rPr>
          <w:rFonts w:hint="eastAsia"/>
        </w:rPr>
        <w:t>六、项目开发及阶段成果说明</w:t>
      </w:r>
    </w:p>
    <w:p>
      <w:r>
        <w:t>开发过程（D1–D12 + 决赛阶段）：</w:t>
      </w:r>
    </w:p>
    <w:p>
      <w:r>
        <w:t>D1 数据扩充（10 万条）、两阶段标注（1,257 正例）、模型训练、基线对比、Agent/Demo 初版，技术底座冻结；</w:t>
      </w:r>
    </w:p>
    <w:p>
      <w:r>
        <w:t>D2 消融实验（3 组）、统计验证（学习曲线／PR 曲线／t 检验）、数据提纯（置信度分层、高音补捞）；</w:t>
      </w:r>
    </w:p>
    <w:p>
      <w:r>
        <w:t>D3 技术修复与材料整合（清理无出处表述、审计脚本上线）、复赛文档完成；</w:t>
      </w:r>
    </w:p>
    <w:p>
      <w:r>
        <w:t>D4–D5 提交材料收尾；D6–D8 验证深化与工程补强（LLM 跨模型对照、长度分桶、校准评估、错误分类学、HTTP API、吞吐实测、模型卡、合规披露、漂移监控方案）；D9–D10 在线部署与自动验收；D11–D12 复盘与格式对照；</w:t>
      </w:r>
    </w:p>
    <w:p>
      <w:r>
        <w:t>决赛阶段：披露阈值选择偏差、重建无泄漏评测划分（tune/test 分离）、多标签逐类阈值重选、概率校准、字段恢复解锁型号级与鲁棒性分析、失败案例附录、全链路审计与仓库卫生门槛。</w:t>
      </w:r>
    </w:p>
    <w:p>
      <w:r>
        <w:t>阶段成果指标表（v2；均为 val_v3_test 上、阈值取自 val_v3_tune）：</w:t>
      </w:r>
    </w:p>
    <w:tbl>
      <w:tblPr>
        <w:tblStyle w:val="33"/>
        <w:tblW w:type="auto" w:w="0"/>
        <w:tblLook w:firstColumn="1" w:firstRow="1" w:lastColumn="0" w:lastRow="0" w:noHBand="0" w:noVBand="1" w:val="04A0"/>
      </w:tblPr>
      <w:tblGrid>
        <w:gridCol w:w="2880"/>
        <w:gridCol w:w="2880"/>
        <w:gridCol w:w="2880"/>
      </w:tblGrid>
      <w:tr>
        <w:tc>
          <w:tcPr>
            <w:tcW w:type="dxa" w:w="2880"/>
          </w:tcPr>
          <w:p>
            <w:r/>
            <w:r>
              <w:rPr>
                <w:b/>
                <w:sz w:val="18"/>
              </w:rPr>
              <w:t>项目</w:t>
            </w:r>
          </w:p>
        </w:tc>
        <w:tc>
          <w:tcPr>
            <w:tcW w:type="dxa" w:w="2880"/>
          </w:tcPr>
          <w:p>
            <w:r/>
            <w:r>
              <w:rPr>
                <w:b/>
                <w:sz w:val="18"/>
              </w:rPr>
              <w:t>结果</w:t>
            </w:r>
          </w:p>
        </w:tc>
        <w:tc>
          <w:tcPr>
            <w:tcW w:type="dxa" w:w="2880"/>
          </w:tcPr>
          <w:p>
            <w:r/>
            <w:r>
              <w:rPr>
                <w:b/>
                <w:sz w:val="18"/>
              </w:rPr>
              <w:t>说明</w:t>
            </w:r>
          </w:p>
        </w:tc>
      </w:tr>
      <w:tr>
        <w:tc>
          <w:tcPr>
            <w:tcW w:type="dxa" w:w="2880"/>
          </w:tcPr>
          <w:p>
            <w:r/>
            <w:r>
              <w:rPr>
                <w:sz w:val="18"/>
              </w:rPr>
              <w:t>二分类主指标</w:t>
            </w:r>
          </w:p>
        </w:tc>
        <w:tc>
          <w:tcPr>
            <w:tcW w:type="dxa" w:w="2880"/>
          </w:tcPr>
          <w:p>
            <w:r/>
            <w:r>
              <w:rPr>
                <w:sz w:val="18"/>
              </w:rPr>
              <w:t>F1@调优(0.6) = 0.7220；PR-AUC = 0.7811</w:t>
            </w:r>
          </w:p>
        </w:tc>
        <w:tc>
          <w:tcPr>
            <w:tcW w:type="dxa" w:w="2880"/>
          </w:tcPr>
          <w:p>
            <w:r/>
            <w:r>
              <w:rPr>
                <w:sz w:val="18"/>
              </w:rPr>
              <w:t>通过采纳闸门第 (1) 条（≥0.72 或 ≥0.75）</w:t>
            </w:r>
          </w:p>
        </w:tc>
      </w:tr>
      <w:tr>
        <w:tc>
          <w:tcPr>
            <w:tcW w:type="dxa" w:w="2880"/>
          </w:tcPr>
          <w:p>
            <w:r/>
            <w:r>
              <w:rPr>
                <w:sz w:val="18"/>
              </w:rPr>
              <w:t>高召回档</w:t>
            </w:r>
          </w:p>
        </w:tc>
        <w:tc>
          <w:tcPr>
            <w:tcW w:type="dxa" w:w="2880"/>
          </w:tcPr>
          <w:p>
            <w:r/>
            <w:r>
              <w:rPr>
                <w:sz w:val="18"/>
              </w:rPr>
              <w:t>F1@0.5 = 0.7206</w:t>
            </w:r>
          </w:p>
        </w:tc>
        <w:tc>
          <w:tcPr>
            <w:tcW w:type="dxa" w:w="2880"/>
          </w:tcPr>
          <w:p>
            <w:r/>
            <w:r>
              <w:rPr>
                <w:sz w:val="18"/>
              </w:rPr>
              <w:t>供不同业务取舍</w:t>
            </w:r>
          </w:p>
        </w:tc>
      </w:tr>
      <w:tr>
        <w:tc>
          <w:tcPr>
            <w:tcW w:type="dxa" w:w="2880"/>
          </w:tcPr>
          <w:p>
            <w:r/>
            <w:r>
              <w:rPr>
                <w:sz w:val="18"/>
              </w:rPr>
              <w:t>五类归因</w:t>
            </w:r>
          </w:p>
        </w:tc>
        <w:tc>
          <w:tcPr>
            <w:tcW w:type="dxa" w:w="2880"/>
          </w:tcPr>
          <w:p>
            <w:r>
              <w:rPr>
                <w:b w:val="0"/>
              </w:rPr>
              <w:t>宏 F1 = 0.8273（</w:t>
            </w:r>
            <w:r>
              <w:rPr>
                <w:b/>
              </w:rPr>
              <w:t>对 LLM 标签</w:t>
            </w:r>
            <w:r>
              <w:rPr>
                <w:b w:val="0"/>
              </w:rPr>
              <w:t>）；高音类 F1 = 0.5333（</w:t>
            </w:r>
            <w:r>
              <w:rPr>
                <w:b/>
              </w:rPr>
              <w:t>测试集该类正例仅 10 条</w:t>
            </w:r>
            <w:r>
              <w:rPr>
                <w:b w:val="0"/>
              </w:rPr>
              <w:t>）</w:t>
            </w:r>
          </w:p>
        </w:tc>
        <w:tc>
          <w:tcPr>
            <w:tcW w:type="dxa" w:w="2880"/>
          </w:tcPr>
          <w:p>
            <w:r>
              <w:rPr>
                <w:b w:val="0"/>
              </w:rPr>
              <w:t>逐类阈值；评估范围为</w:t>
            </w:r>
            <w:r>
              <w:rPr>
                <w:b/>
              </w:rPr>
              <w:t>声学相关抱怨正例</w:t>
            </w:r>
            <w:r>
              <w:rPr>
                <w:b w:val="0"/>
              </w:rPr>
              <w:t xml:space="preserve">（非严格耳机音质，口径见附录 C 第 8–9 条）。⚠️ </w:t>
            </w:r>
            <w:r>
              <w:rPr>
                <w:b/>
              </w:rPr>
              <w:t>人工口径下已下修</w:t>
            </w:r>
            <w:r>
              <w:rPr>
                <w:b w:val="0"/>
              </w:rPr>
              <w:t xml:space="preserve">：同子集（28 条）模型 vs 人工 </w:t>
            </w:r>
            <w:r>
              <w:rPr>
                <w:b/>
              </w:rPr>
              <w:t>0.5157</w:t>
            </w:r>
            <w:r>
              <w:rPr>
                <w:b w:val="0"/>
              </w:rPr>
              <w:t>、全部 50 条 0.4371；</w:t>
            </w:r>
            <w:r>
              <w:rPr>
                <w:b/>
              </w:rPr>
              <w:t>高音类在出厂阈值（0.5）下不输出</w:t>
            </w:r>
            <w:r>
              <w:rPr>
                <w:b w:val="0"/>
              </w:rPr>
              <w:t>（人工标了 3 条，模型一条未报）——详见附录 C 第 12 条</w:t>
            </w:r>
          </w:p>
        </w:tc>
      </w:tr>
      <w:tr>
        <w:tc>
          <w:tcPr>
            <w:tcW w:type="dxa" w:w="2880"/>
          </w:tcPr>
          <w:p>
            <w:r/>
            <w:r>
              <w:rPr>
                <w:sz w:val="18"/>
              </w:rPr>
              <w:t>概率校准</w:t>
            </w:r>
          </w:p>
        </w:tc>
        <w:tc>
          <w:tcPr>
            <w:tcW w:type="dxa" w:w="2880"/>
          </w:tcPr>
          <w:p>
            <w:r/>
            <w:r>
              <w:rPr>
                <w:sz w:val="18"/>
              </w:rPr>
              <w:t>决策区间（≥0.9）偏差 −0.172 → −0.060；抗稀释 ECE 0.222 → 0.117</w:t>
            </w:r>
          </w:p>
        </w:tc>
        <w:tc>
          <w:tcPr>
            <w:tcW w:type="dxa" w:w="2880"/>
          </w:tcPr>
          <w:p>
            <w:r/>
            <w:r>
              <w:rPr>
                <w:sz w:val="18"/>
              </w:rPr>
              <w:t>温度缩放，只在调参划分上拟合</w:t>
            </w:r>
          </w:p>
        </w:tc>
      </w:tr>
      <w:tr>
        <w:tc>
          <w:tcPr>
            <w:tcW w:type="dxa" w:w="2880"/>
          </w:tcPr>
          <w:p>
            <w:r/>
            <w:r>
              <w:rPr>
                <w:sz w:val="18"/>
              </w:rPr>
              <w:t>交叉验证（5 折）</w:t>
            </w:r>
          </w:p>
        </w:tc>
        <w:tc>
          <w:tcPr>
            <w:tcW w:type="dxa" w:w="2880"/>
          </w:tcPr>
          <w:p>
            <w:r>
              <w:rPr>
                <w:b/>
              </w:rPr>
              <w:t>无偏口径（固定阈值、不在折内做任何选择）0.6584 ± 0.0378[v2]（波动 5.7%）</w:t>
            </w:r>
            <w:r>
              <w:rPr>
                <w:b w:val="0"/>
              </w:rPr>
              <w:t>；对照口径（折内选阈值）0.7086 ± 0.0304[v2]（4.3%）</w:t>
            </w:r>
          </w:p>
        </w:tc>
        <w:tc>
          <w:tcPr>
            <w:tcW w:type="dxa" w:w="2880"/>
          </w:tcPr>
          <w:p>
            <w:r>
              <w:rPr>
                <w:b w:val="0"/>
              </w:rPr>
              <w:t>v1 记录的 3.9%[v1] 属</w:t>
            </w:r>
            <w:r>
              <w:rPr>
                <w:b/>
              </w:rPr>
              <w:t>折内选阈值</w:t>
            </w:r>
            <w:r>
              <w:rPr>
                <w:b w:val="0"/>
              </w:rPr>
              <w:t>口径（乐观且压低方差）；无偏口径暴露了阈值迁移带来的跨折波动——产品含义：阈值应随数据分布定期重标</w:t>
            </w:r>
          </w:p>
        </w:tc>
      </w:tr>
      <w:tr>
        <w:tc>
          <w:tcPr>
            <w:tcW w:type="dxa" w:w="2880"/>
          </w:tcPr>
          <w:p>
            <w:r/>
            <w:r>
              <w:rPr>
                <w:sz w:val="18"/>
              </w:rPr>
              <w:t>鲁棒性</w:t>
            </w:r>
          </w:p>
        </w:tc>
        <w:tc>
          <w:tcPr>
            <w:tcW w:type="dxa" w:w="2880"/>
          </w:tcPr>
          <w:p>
            <w:r/>
            <w:r>
              <w:rPr>
                <w:sz w:val="18"/>
              </w:rPr>
              <w:t>仅保留已验证购买：F1@调优 0.6871[v1] → 0.7034（v2 分析，仍为 v1 模型权重）；同用户去重后差评率 1.28% → 1.28%</w:t>
            </w:r>
          </w:p>
        </w:tc>
        <w:tc>
          <w:tcPr>
            <w:tcW w:type="dxa" w:w="2880"/>
          </w:tcPr>
          <w:p>
            <w:r/>
            <w:r>
              <w:rPr>
                <w:sz w:val="18"/>
              </w:rPr>
              <w:t>详见附录 E</w:t>
            </w:r>
          </w:p>
        </w:tc>
      </w:tr>
      <w:tr>
        <w:tc>
          <w:tcPr>
            <w:tcW w:type="dxa" w:w="2880"/>
          </w:tcPr>
          <w:p>
            <w:r/>
            <w:r>
              <w:rPr>
                <w:sz w:val="18"/>
              </w:rPr>
              <w:t>长文本</w:t>
            </w:r>
          </w:p>
        </w:tc>
        <w:tc>
          <w:tcPr>
            <w:tcW w:type="dxa" w:w="2880"/>
          </w:tcPr>
          <w:p>
            <w:r/>
            <w:r>
              <w:rPr>
                <w:sz w:val="18"/>
              </w:rPr>
              <w:t>&gt;128 token 桶召回 51.2%（截断）→ 82.9%（切窗），整体 F1 降至 0.60；约束式分档阈值下达 68.3%</w:t>
            </w:r>
          </w:p>
        </w:tc>
        <w:tc>
          <w:tcPr>
            <w:tcW w:type="dxa" w:w="2880"/>
          </w:tcPr>
          <w:p>
            <w:r/>
            <w:r>
              <w:rPr>
                <w:sz w:val="18"/>
              </w:rPr>
              <w:t>未达 70% 验收线，已如实记录</w:t>
            </w:r>
          </w:p>
        </w:tc>
      </w:tr>
      <w:tr>
        <w:tc>
          <w:tcPr>
            <w:tcW w:type="dxa" w:w="2880"/>
          </w:tcPr>
          <w:p>
            <w:r/>
            <w:r>
              <w:rPr>
                <w:sz w:val="18"/>
              </w:rPr>
              <w:t>型号级</w:t>
            </w:r>
          </w:p>
        </w:tc>
        <w:tc>
          <w:tcPr>
            <w:tcW w:type="dxa" w:w="2880"/>
          </w:tcPr>
          <w:p>
            <w:r/>
            <w:r>
              <w:rPr>
                <w:sz w:val="18"/>
              </w:rPr>
              <w:t>711 个型号达 ≥10 条门槛；Top-20 差评率 14.3%–30.0%（全局 1.28%）</w:t>
            </w:r>
          </w:p>
        </w:tc>
        <w:tc>
          <w:tcPr>
            <w:tcW w:type="dxa" w:w="2880"/>
          </w:tcPr>
          <w:p>
            <w:r/>
            <w:r>
              <w:rPr>
                <w:sz w:val="18"/>
              </w:rPr>
              <w:t>v2 新增能力</w:t>
            </w:r>
          </w:p>
        </w:tc>
      </w:tr>
      <w:tr>
        <w:tc>
          <w:tcPr>
            <w:tcW w:type="dxa" w:w="2880"/>
          </w:tcPr>
          <w:p>
            <w:r/>
            <w:r>
              <w:rPr>
                <w:sz w:val="18"/>
              </w:rPr>
              <w:t>星级分层</w:t>
            </w:r>
          </w:p>
        </w:tc>
        <w:tc>
          <w:tcPr>
            <w:tcW w:type="dxa" w:w="2880"/>
          </w:tcPr>
          <w:p>
            <w:r/>
            <w:r>
              <w:rPr>
                <w:sz w:val="18"/>
              </w:rPr>
              <w:t>差评率 1★ 5.43%／2★ 7.97%／3★ 6.60%／4★ 0.13%／5★ 0.02%</w:t>
            </w:r>
          </w:p>
        </w:tc>
        <w:tc>
          <w:tcPr>
            <w:tcW w:type="dxa" w:w="2880"/>
          </w:tcPr>
          <w:p>
            <w:r/>
            <w:r>
              <w:rPr>
                <w:sz w:val="18"/>
              </w:rPr>
              <w:t>音质差评密度在 2★ 最高</w:t>
            </w:r>
          </w:p>
        </w:tc>
      </w:tr>
    </w:tbl>
    <w:p>
      <w:r>
        <w:rPr>
          <w:b w:val="0"/>
        </w:rPr>
        <w:t>已完成工程能力：一键安装脚本、模型卡（v2）、权重托管、在线创空间自动验收、HTTP API、审计工具链（全部检查项（项数以 number_audit.md 为准）检查／0 FAIL）、仓库卫生扫描、负向自测（15 项）、预提交守卫。</w:t>
      </w:r>
    </w:p>
    <w:p>
      <w:r>
        <w:rPr>
          <w:b w:val="0"/>
        </w:rPr>
        <w:t xml:space="preserve">核心发现：① 三星评论 41.5% 实为音质差评（规则漏检）；② RLCA 两阶段标注把可用正例从 63 条扩至 </w:t>
      </w:r>
      <w:r>
        <w:rPr>
          <w:b/>
        </w:rPr>
        <w:t>1,280 条（当前口径）</w:t>
      </w:r>
      <w:r>
        <w:rPr>
          <w:b w:val="0"/>
        </w:rPr>
        <w:t>——</w:t>
      </w:r>
      <w:r>
        <w:rPr>
          <w:b/>
        </w:rPr>
        <w:t>该集合的准确称谓是「声学相关抱怨集」而非「耳机音质差评集」</w:t>
      </w:r>
      <w:r>
        <w:rPr>
          <w:b w:val="0"/>
        </w:rPr>
        <w:t>（见附录 C 第 8 条）：按产品口径判定，其中</w:t>
      </w:r>
      <w:r>
        <w:rPr>
          <w:b/>
        </w:rPr>
        <w:t>耳机家族（头戴/入耳/耳塞）约 530 条（41.4%）</w:t>
      </w:r>
      <w:r>
        <w:rPr>
          <w:b w:val="0"/>
        </w:rPr>
        <w:t>，经人工抽样校准后估计</w:t>
      </w:r>
      <w:r>
        <w:rPr>
          <w:b/>
        </w:rPr>
        <w:t>约 380–400 条</w:t>
      </w:r>
      <w:r>
        <w:rPr>
          <w:b w:val="0"/>
        </w:rPr>
        <w:t xml:space="preserve">为真实的耳机音质差评；弱标注精度 51.8% 经复核清洗至人工抽查 78%；③ 最优阈值由 0.0009 跃升至 0.97 量级，判别信心质变；④ 长文本漏检主因不是截断，而是子片段信号被整篇平均（决赛阶段实测）；⑤ 评测划分若在标签集重建后沿用旧集合，会产生记忆型虚高（实测 0.9126 → 修正后 0.7206，见附录 C）；⑥ </w:t>
      </w:r>
      <w:r>
        <w:rPr>
          <w:b/>
        </w:rPr>
        <w:t>交叉验证的波动取决于口径</w:t>
      </w:r>
      <w:r>
        <w:rPr>
          <w:b w:val="0"/>
        </w:rPr>
        <w:t>：折内选阈值（v1 口径）报 3.9%，无偏的固定阈值口径报 5.7%——同一模型、同一数据，差别全部来自「阈值是否在同折内选取」。</w:t>
      </w:r>
    </w:p>
    <w:p>
      <w:r>
        <w:t>核心挑战与解决方案：正样本稀缺（13 条）→ RLCA 两阶段标注；类别不平衡（1.3%）→ 1:10 欠采样 + 阈值扫描；委婉表达漏检 → LLM 复核三星评论（补漏 479 条）；GPU 显存受限（8GB）→ 选用 DistilBERT；高音样本不足 → 关键词补捞 + LLM 复核（确认 124 条高音正例）；阈值选择偏差 → v2 起 tune/test 分离并写入机械检查。</w:t>
      </w:r>
    </w:p>
    <w:p>
      <w:r>
        <w:t>后续迭代计划：时序趋势与批次预警、跨品类迁移实证、多语言适配（XLM-R 基座）、长文本切片级打分与学习式聚合、在线持续学习机制。</w:t>
      </w:r>
    </w:p>
    <w:p w14:paraId="320F212C"/>
    <w:p w14:paraId="1BDB3773">
      <w:r>
        <w:t>————————————————————————————————————————</w:t>
      </w:r>
    </w:p>
    <w:p w14:paraId="03627565">
      <w:pPr>
        <w:pStyle w:val="3"/>
      </w:pPr>
      <w:r>
        <w:rPr>
          <w:rFonts w:hint="eastAsia"/>
        </w:rPr>
        <w:t>七、提交物清单（勾选确认）</w:t>
      </w:r>
    </w:p>
    <w:p w14:paraId="6C37ADBC">
      <w:r>
        <w:rPr>
          <w:rFonts w:hint="eastAsia" w:ascii="Times New Roman" w:hAnsi="Times New Roman" w:eastAsia="宋体"/>
          <w:b w:val="0"/>
          <w:sz w:val="22"/>
        </w:rPr>
        <w:t>☑ 本模板（含基本信息 + 说明类内容，见第三/四/五部分）</w:t>
      </w:r>
    </w:p>
    <w:p w14:paraId="2C823AB6">
      <w:r>
        <w:rPr>
          <w:rFonts w:hint="eastAsia" w:ascii="Times New Roman" w:hAnsi="Times New Roman" w:eastAsia="宋体"/>
          <w:b w:val="0"/>
          <w:sz w:val="22"/>
        </w:rPr>
        <w:t>☑ 可运行的产品 Demo / 核心功能原型（附件：Demo 压缩包，命名见第七部分）</w:t>
      </w:r>
    </w:p>
    <w:p w14:paraId="6F8BDF7F">
      <w:r>
        <w:rPr>
          <w:rFonts w:hint="eastAsia" w:ascii="Times New Roman" w:hAnsi="Times New Roman" w:eastAsia="宋体"/>
          <w:b w:val="0"/>
          <w:sz w:val="22"/>
        </w:rPr>
        <w:t>☑ GitCode 代码仓库地址（可选，链接请填下表）</w:t>
      </w:r>
    </w:p>
    <w:p w14:paraId="2DB80AF3">
      <w:r>
        <w:rPr>
          <w:rFonts w:hint="eastAsia" w:ascii="Times New Roman" w:hAnsi="Times New Roman" w:eastAsia="宋体"/>
          <w:b w:val="0"/>
          <w:sz w:val="22"/>
        </w:rPr>
        <w:t>☑ 产品演示视频（附件：视频文件，建议 3-5 分钟，命名见第七部分）</w:t>
      </w:r>
    </w:p>
    <w:p w14:paraId="73BCC6AA">
      <w:pPr>
        <w:rPr>
          <w:rFonts w:ascii="Times New Roman" w:hAnsi="Times New Roman" w:eastAsia="宋体"/>
          <w:b w:val="0"/>
          <w:sz w:val="22"/>
        </w:rPr>
      </w:pPr>
      <w:r>
        <w:rPr>
          <w:rFonts w:hint="eastAsia" w:ascii="Times New Roman" w:hAnsi="Times New Roman" w:eastAsia="宋体"/>
          <w:b w:val="0"/>
          <w:sz w:val="22"/>
        </w:rPr>
        <w:t>在线链接填写表</w:t>
      </w:r>
    </w:p>
    <w:p w14:paraId="5510398B"/>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5"/>
        <w:gridCol w:w="4305"/>
      </w:tblGrid>
      <w:tr w14:paraId="5A40110A">
        <w:tc>
          <w:tcPr>
            <w:tcW w:w="4305" w:type="dxa"/>
          </w:tcPr>
          <w:p w14:paraId="337D686D">
            <w:pPr>
              <w:spacing w:after="0" w:line="240" w:lineRule="auto"/>
            </w:pPr>
            <w:r>
              <w:rPr>
                <w:rFonts w:hint="eastAsia"/>
              </w:rPr>
              <w:t>链接类型</w:t>
            </w:r>
          </w:p>
        </w:tc>
        <w:tc>
          <w:tcPr>
            <w:tcW w:w="4305" w:type="dxa"/>
          </w:tcPr>
          <w:p w14:paraId="192D31FF">
            <w:pPr>
              <w:spacing w:after="0" w:line="240" w:lineRule="auto"/>
            </w:pPr>
            <w:r>
              <w:rPr>
                <w:rFonts w:hint="eastAsia"/>
              </w:rPr>
              <w:t>链接地址</w:t>
            </w:r>
          </w:p>
        </w:tc>
      </w:tr>
      <w:tr w14:paraId="44CC65B6">
        <w:tc>
          <w:tcPr>
            <w:tcW w:w="4305" w:type="dxa"/>
          </w:tcPr>
          <w:p w14:paraId="1C35EF19">
            <w:pPr>
              <w:spacing w:after="0" w:line="240" w:lineRule="auto"/>
            </w:pPr>
            <w:r>
              <w:rPr>
                <w:rFonts w:hint="eastAsia"/>
              </w:rPr>
              <w:t>GitCode 代码仓库（可选）</w:t>
            </w:r>
          </w:p>
        </w:tc>
        <w:tc>
          <w:tcPr>
            <w:tcW w:w="4305" w:type="dxa"/>
          </w:tcPr>
          <w:p>
            <w:r/>
            <w:r>
              <w:t>https://gitcode.com/DaiYanQBZ95Doll/soundinsight</w:t>
            </w:r>
          </w:p>
        </w:tc>
      </w:tr>
      <w:tr w14:paraId="5B74F860">
        <w:tc>
          <w:tcPr>
            <w:tcW w:w="4305" w:type="dxa"/>
          </w:tcPr>
          <w:p w14:paraId="0604AB8E">
            <w:pPr>
              <w:spacing w:after="0" w:line="240" w:lineRule="auto"/>
            </w:pPr>
            <w:r>
              <w:rPr>
                <w:rFonts w:hint="eastAsia"/>
              </w:rPr>
              <w:t>线上 Demo 体验地址（如有）</w:t>
            </w:r>
          </w:p>
        </w:tc>
        <w:tc>
          <w:tcPr>
            <w:tcW w:w="4305" w:type="dxa"/>
          </w:tcPr>
          <w:p>
            <w:r/>
            <w:r>
              <w:t>https://modelscope.cn/studios/DaiYanQBZ95Doll/SoundInsight</w:t>
            </w:r>
          </w:p>
        </w:tc>
      </w:tr>
      <w:tr w14:paraId="433089D1">
        <w:tc>
          <w:tcPr>
            <w:tcW w:w="4305" w:type="dxa"/>
          </w:tcPr>
          <w:p w14:paraId="7F0C9343">
            <w:pPr>
              <w:spacing w:after="0" w:line="240" w:lineRule="auto"/>
            </w:pPr>
            <w:r>
              <w:rPr>
                <w:rFonts w:hint="eastAsia"/>
              </w:rPr>
              <w:t>产品演示视频链接（如提供线上版本）</w:t>
            </w:r>
          </w:p>
        </w:tc>
        <w:tc>
          <w:tcPr>
            <w:tcW w:w="4305" w:type="dxa"/>
          </w:tcPr>
          <w:p>
            <w:r/>
            <w:r>
              <w:t>随包提交（本地 mp4 文件）</w:t>
            </w:r>
          </w:p>
        </w:tc>
      </w:tr>
      <w:tr w14:paraId="6BE33B77">
        <w:tc>
          <w:tcPr>
            <w:tcW w:w="4305" w:type="dxa"/>
          </w:tcPr>
          <w:p w14:paraId="7520DA9A">
            <w:pPr>
              <w:spacing w:after="0" w:line="240" w:lineRule="auto"/>
            </w:pPr>
            <w:r>
              <w:rPr>
                <w:rFonts w:hint="eastAsia"/>
              </w:rPr>
              <w:t>测试账号 / 体验地址（如适用）</w:t>
            </w:r>
          </w:p>
        </w:tc>
        <w:tc>
          <w:tcPr>
            <w:tcW w:w="4305" w:type="dxa"/>
          </w:tcPr>
          <w:p>
            <w:r/>
            <w:r>
              <w:t>无需账号（在线 Demo 公开访问）</w:t>
            </w:r>
          </w:p>
        </w:tc>
      </w:tr>
    </w:tbl>
    <w:p w14:paraId="56A97BD8">
      <w:pPr>
        <w:rPr>
          <w:rFonts w:ascii="Times New Roman" w:hAnsi="Times New Roman" w:eastAsia="宋体"/>
          <w:b w:val="0"/>
          <w:sz w:val="22"/>
        </w:rPr>
      </w:pPr>
    </w:p>
    <w:p w14:paraId="75787BE3">
      <w:pPr>
        <w:rPr>
          <w:rFonts w:ascii="Times New Roman" w:hAnsi="Times New Roman" w:eastAsia="宋体"/>
          <w:b w:val="0"/>
          <w:sz w:val="22"/>
        </w:rPr>
      </w:pPr>
    </w:p>
    <w:p w14:paraId="2AA00ADD">
      <w:r>
        <w:t>————————————————————————————————————————</w:t>
      </w:r>
    </w:p>
    <w:p w14:paraId="03196972">
      <w:pPr>
        <w:pStyle w:val="3"/>
      </w:pPr>
      <w:r>
        <w:rPr>
          <w:rFonts w:hint="eastAsia"/>
        </w:rPr>
        <w:t>八、附件命名规范（zip 打包提交）</w:t>
      </w:r>
    </w:p>
    <w:p w14:paraId="4AC03CA6">
      <w:r>
        <w:rPr>
          <w:rFonts w:hint="eastAsia" w:ascii="Times New Roman" w:hAnsi="Times New Roman" w:eastAsia="宋体"/>
          <w:b w:val="0"/>
          <w:sz w:val="22"/>
        </w:rPr>
        <w:t>天池渠道仅支持提交一个 zip 文件，请将以下材料整理后打包（示例：团队名_方案名称_</w:t>
      </w:r>
      <w:r>
        <w:rPr>
          <w:rFonts w:hint="eastAsia" w:ascii="Times New Roman" w:hAnsi="Times New Roman" w:eastAsia="宋体"/>
          <w:b w:val="0"/>
          <w:sz w:val="22"/>
          <w:lang w:eastAsia="zh-CN"/>
        </w:rPr>
        <w:t>决赛入围定稿</w:t>
      </w:r>
      <w:r>
        <w:rPr>
          <w:rFonts w:hint="eastAsia" w:ascii="Times New Roman" w:hAnsi="Times New Roman" w:eastAsia="宋体"/>
          <w:b w:val="0"/>
          <w:sz w:val="22"/>
        </w:rPr>
        <w:t>作品.zip）：</w:t>
      </w:r>
    </w:p>
    <w:p w14:paraId="2B2BAF78">
      <w:r>
        <w:rPr>
          <w:rFonts w:hint="eastAsia" w:ascii="Times New Roman" w:hAnsi="Times New Roman" w:eastAsia="宋体"/>
          <w:b w:val="0"/>
          <w:sz w:val="22"/>
        </w:rPr>
        <w:t>1. 主文档：团队名_方案名称_</w:t>
      </w:r>
      <w:r>
        <w:rPr>
          <w:rFonts w:hint="eastAsia" w:ascii="Times New Roman" w:hAnsi="Times New Roman" w:eastAsia="宋体"/>
          <w:b w:val="0"/>
          <w:sz w:val="22"/>
          <w:lang w:eastAsia="zh-CN"/>
        </w:rPr>
        <w:t>决赛入围定稿</w:t>
      </w:r>
      <w:r>
        <w:rPr>
          <w:rFonts w:hint="eastAsia" w:ascii="Times New Roman" w:hAnsi="Times New Roman" w:eastAsia="宋体"/>
          <w:b w:val="0"/>
          <w:sz w:val="22"/>
        </w:rPr>
        <w:t>作品.docx（或 .pdf）</w:t>
      </w:r>
    </w:p>
    <w:p w14:paraId="7E337DC2">
      <w:r>
        <w:rPr>
          <w:rFonts w:hint="eastAsia" w:ascii="Times New Roman" w:hAnsi="Times New Roman" w:eastAsia="宋体"/>
          <w:b w:val="0"/>
          <w:sz w:val="22"/>
        </w:rPr>
        <w:t>2. Demo 压缩包：团队名_方案名称_Demo.zip</w:t>
      </w:r>
    </w:p>
    <w:p w14:paraId="6B8D57B8">
      <w:r>
        <w:rPr>
          <w:rFonts w:hint="eastAsia" w:ascii="Times New Roman" w:hAnsi="Times New Roman" w:eastAsia="宋体"/>
          <w:b w:val="0"/>
          <w:sz w:val="22"/>
        </w:rPr>
        <w:t>3. 演示视频：团队名_方案名称_演示视频.mp4</w:t>
      </w:r>
    </w:p>
    <w:p w14:paraId="7AAF0C41">
      <w:r>
        <w:rPr>
          <w:rFonts w:hint="eastAsia" w:ascii="Times New Roman" w:hAnsi="Times New Roman" w:eastAsia="宋体"/>
          <w:b w:val="0"/>
          <w:sz w:val="22"/>
        </w:rPr>
        <w:t>4. 其他材料：团队名_方案名称_其他材料.zip（测试报告、用户反馈、补充架构图等）</w:t>
      </w:r>
    </w:p>
    <w:p w14:paraId="466F1D9A"/>
    <w:p w14:paraId="20FB3663">
      <w:r>
        <w:rPr>
          <w:rFonts w:hint="eastAsia" w:ascii="Times New Roman" w:hAnsi="Times New Roman" w:eastAsia="宋体"/>
          <w:b/>
          <w:color w:val="C81E1E"/>
          <w:sz w:val="22"/>
        </w:rPr>
        <w:t>⚠️ 注意：所有文件请放入同一个 zip 中提交，zip 命名统一为「团队名_方案名称_</w:t>
      </w:r>
      <w:r>
        <w:rPr>
          <w:rFonts w:hint="eastAsia" w:ascii="Times New Roman" w:hAnsi="Times New Roman" w:eastAsia="宋体"/>
          <w:b/>
          <w:color w:val="C81E1E"/>
          <w:sz w:val="22"/>
          <w:lang w:eastAsia="zh-CN"/>
        </w:rPr>
        <w:t>决赛入围定稿</w:t>
      </w:r>
      <w:r>
        <w:rPr>
          <w:rFonts w:hint="eastAsia" w:ascii="Times New Roman" w:hAnsi="Times New Roman" w:eastAsia="宋体"/>
          <w:b/>
          <w:color w:val="C81E1E"/>
          <w:sz w:val="22"/>
        </w:rPr>
        <w:t>作品.zip」。</w:t>
      </w:r>
    </w:p>
    <w:p w14:paraId="0D2C9DCF">
      <w:r>
        <w:t>————————————————————————————————————————</w:t>
      </w:r>
    </w:p>
    <w:p w14:paraId="391B5C5B">
      <w:pPr>
        <w:pStyle w:val="3"/>
      </w:pPr>
      <w:r>
        <w:rPr>
          <w:rFonts w:hint="eastAsia"/>
        </w:rPr>
        <w:t>九、注意事项</w:t>
      </w:r>
    </w:p>
    <w:p w14:paraId="02ACAC4B">
      <w:r>
        <w:rPr>
          <w:rFonts w:hint="eastAsia" w:ascii="Times New Roman" w:hAnsi="Times New Roman" w:eastAsia="宋体"/>
          <w:b w:val="0"/>
          <w:sz w:val="22"/>
        </w:rPr>
        <w:t>1. 所有材料打包为一个 zip 文件提交（天池渠道限制，zip 内可含子文件夹）。</w:t>
      </w:r>
    </w:p>
    <w:p w14:paraId="16A6B21D">
      <w:r>
        <w:rPr>
          <w:rFonts w:hint="eastAsia" w:ascii="Times New Roman" w:hAnsi="Times New Roman" w:eastAsia="宋体"/>
          <w:b w:val="0"/>
          <w:sz w:val="22"/>
        </w:rPr>
        <w:t>2. zip 内请按第七部分命名规范整理文件，便于评委查阅。</w:t>
      </w:r>
    </w:p>
    <w:p w14:paraId="12AD8F73">
      <w:r>
        <w:rPr>
          <w:rFonts w:hint="eastAsia" w:ascii="Times New Roman" w:hAnsi="Times New Roman" w:eastAsia="宋体"/>
          <w:b w:val="0"/>
          <w:sz w:val="22"/>
        </w:rPr>
        <w:t>3. 演示视频建议控制在 3-5 分钟，展示核心业务流程即可。</w:t>
      </w:r>
    </w:p>
    <w:p w14:paraId="6201C141">
      <w:r>
        <w:rPr>
          <w:rFonts w:hint="eastAsia" w:ascii="Times New Roman" w:hAnsi="Times New Roman" w:eastAsia="宋体"/>
          <w:b w:val="0"/>
          <w:sz w:val="22"/>
        </w:rPr>
        <w:t>4. 作品不一定需要达到正式商业产品标准，但需证明方案可实现、可使用、具有业务价值。</w:t>
      </w:r>
    </w:p>
    <w:p w14:paraId="671C2090">
      <w:r>
        <w:rPr>
          <w:rFonts w:hint="eastAsia" w:ascii="Times New Roman" w:hAnsi="Times New Roman" w:eastAsia="宋体"/>
          <w:b w:val="0"/>
          <w:sz w:val="22"/>
        </w:rPr>
        <w:t>5. 代码仓库不强制公开源码，可私有仓库+授权评审可见，或用 Demo+视频验证。</w:t>
      </w:r>
    </w:p>
    <w:p/>
    <w:p>
      <w:r>
        <w:rPr>
          <w:b/>
          <w:sz w:val="26"/>
        </w:rPr>
        <w:t>附录 A　数据许可与合规披露</w:t>
      </w:r>
    </w:p>
    <w:p>
      <w:r>
        <w:rPr>
          <w:b/>
          <w:sz w:val="26"/>
        </w:rPr>
        <w:t>模型调用与边界（唯一权威表述，与仓库 README 逐字一致，共三句）：</w:t>
      </w:r>
    </w:p>
    <w:p>
      <w:r>
        <w:t>1. 本项目产品推理 100% 本地、零第三方 API。</w:t>
      </w:r>
    </w:p>
    <w:p>
      <w:r>
        <w:t>2. 数据标注与复核环节调用 DeepSeek 官方 API（模型标识 deepseek-chat）。</w:t>
      </w:r>
    </w:p>
    <w:p>
      <w:r>
        <w:t>3. 另有 qwen3.7-plus（阿里云百炼 Token Plan API）仅供评审用途的跨 LLM 稳健性对照实验，不参与产品推理。</w:t>
      </w:r>
    </w:p>
    <w:p>
      <w:r>
        <w:t>1）数据版权：McAuley Lab Amazon Reviews 2023（AmazonElectronics 类目，10 万条评论）版权归原发布方（https://amazon-reviews-2023.github.io/）与原始评论作者所有；本项目仅用于学术研究与竞赛用途，商用前须自行确认许可条款。</w:t>
      </w:r>
    </w:p>
    <w:p>
      <w:r>
        <w:t>2）标注阶段的第三方 API 使用：仅规则初筛命中的候选评论（约 1,502 条）与三星补漏评论的文本经大模型 API（DeepSeek 官方 API，模型标识 deepseek-chat）复核标注，属标注管线内的数据加工并在此披露；另有 qwen3.7-plus（阿里云百炼 Token Plan API）仅用于评审用途的跨 LLM 稳健性对照实验，不参与产品推理。</w:t>
      </w:r>
    </w:p>
    <w:p>
      <w:r>
        <w:t>3）产品推理零外发：Demo、Agent 与 HTTP API 的推理 100% 在本地完成，卖家上传的评论数据不出境、不经过任何第三方 API。</w:t>
      </w:r>
    </w:p>
    <w:p>
      <w:r>
        <w:t>4）模型权重托管：v1 权重存放于 ModelScope DaiYanQBZ95Doll/SoundInsight_models（公开仓库）；v2 权重按 SHA256 与训练命令登记（v2/v2_artifacts.json），供第三方复算；两者均不含原始评论数据。</w:t>
      </w:r>
    </w:p>
    <w:p>
      <w:r>
        <w:t>5）隐私：用户标识字段仅用于聚合统计（去重与集中度），不输出单个用户标识，相关中间文件不入库。</w:t>
      </w:r>
    </w:p>
    <w:p/>
    <w:p>
      <w:r>
        <w:rPr>
          <w:b/>
          <w:sz w:val="26"/>
        </w:rPr>
        <w:t>附录 B　已知局限（如实披露）</w:t>
      </w:r>
    </w:p>
    <w:p>
      <w:r>
        <w:t>1）长文本：&gt;128 token 桶召回 51.2%（截断推理）～82.9%（切窗推理），该桶占数据 19.3%；在长档召回 ≥70% 的约束下实测 68.3%，未达该验收线——机制是子片段信号被整篇平均。</w:t>
      </w:r>
    </w:p>
    <w:p>
      <w:r>
        <w:rPr>
          <w:b w:val="0"/>
        </w:rPr>
        <w:t>2）高音类别：逐类阈值下 F1 0.5333（v1 为 0，属零触发）；该类</w:t>
      </w:r>
      <w:r>
        <w:rPr>
          <w:b/>
        </w:rPr>
        <w:t>分类关键词</w:t>
      </w:r>
      <w:r>
        <w:rPr>
          <w:b w:val="0"/>
        </w:rPr>
        <w:t>漏检率 72.6%（扩充词表后 54.0%），而</w:t>
      </w:r>
      <w:r>
        <w:rPr>
          <w:b/>
        </w:rPr>
        <w:t>一阶筛选的入库漏检为 0.0%</w:t>
      </w:r>
      <w:r>
        <w:rPr>
          <w:b w:val="0"/>
        </w:rPr>
        <w:t>——两套词表的区别见 docs/w13_keyword_miss_rate.md。仍为最弱类别。</w:t>
      </w:r>
      <w:r>
        <w:rPr>
          <w:b/>
        </w:rPr>
        <w:t>三层原因（2026-10-03 补充）</w:t>
      </w:r>
      <w:r>
        <w:rPr>
          <w:b w:val="0"/>
        </w:rPr>
        <w:t xml:space="preserve">：① </w:t>
      </w:r>
      <w:r>
        <w:rPr>
          <w:b/>
        </w:rPr>
        <w:t>评测分辨率不足</w:t>
      </w:r>
      <w:r>
        <w:rPr>
          <w:b w:val="0"/>
        </w:rPr>
        <w:t xml:space="preserve">——冻结测试集该类正例仅 </w:t>
      </w:r>
      <w:r>
        <w:rPr>
          <w:b/>
        </w:rPr>
        <w:t>10 条</w:t>
      </w:r>
      <w:r>
        <w:rPr>
          <w:b w:val="0"/>
        </w:rPr>
        <w:t xml:space="preserve">（调参集上该类 F1 仅 0.4444），任何 F1 都带极宽区间；② </w:t>
      </w:r>
      <w:r>
        <w:rPr>
          <w:b/>
        </w:rPr>
        <w:t>类目定义不互斥</w:t>
      </w:r>
      <w:r>
        <w:rPr>
          <w:b w:val="0"/>
        </w:rPr>
        <w:t xml:space="preserve">——tinny／sibilance 同时落在「清晰度」与「高音」两个词桶内，模型无法稳定区分；③ </w:t>
      </w:r>
      <w:r>
        <w:rPr>
          <w:b/>
        </w:rPr>
        <w:t>出厂阈值下不输出</w:t>
      </w:r>
      <w:r>
        <w:rPr>
          <w:b w:val="0"/>
        </w:rPr>
        <w:t>——人工校验的 50 条中人工标了 3 条高音，模型</w:t>
      </w:r>
      <w:r>
        <w:rPr>
          <w:b/>
        </w:rPr>
        <w:t>一条未报</w:t>
      </w:r>
      <w:r>
        <w:rPr>
          <w:b w:val="0"/>
        </w:rPr>
        <w:t>（该类 F1 = 0.000）。</w:t>
      </w:r>
      <w:r>
        <w:rPr>
          <w:b/>
        </w:rPr>
        <w:t>处置</w:t>
      </w:r>
      <w:r>
        <w:rPr>
          <w:b w:val="0"/>
        </w:rPr>
        <w:t>：不修（三类修法分别是「调阈值」（无法用 10 条正例验证）、「改类目」（改变产品语义，属新世代）、「补正例重训」（已证否路线）），改为</w:t>
      </w:r>
      <w:r>
        <w:rPr>
          <w:b/>
        </w:rPr>
        <w:t>如实标注</w:t>
      </w:r>
      <w:r>
        <w:rPr>
          <w:b w:val="0"/>
        </w:rPr>
        <w:t>并在报告类别上提示人工复核。</w:t>
      </w:r>
    </w:p>
    <w:p>
      <w:r>
        <w:t>3）标注噪声：9.1%（Wilson 95% CI 5.6–14.5%，人工终审 15/16）；无第二标注者，无法计算 κ／α。</w:t>
      </w:r>
    </w:p>
    <w:p>
      <w:r>
        <w:t>4）共享教师偏差：训练与验证标签同源（均由同一 LLM 复核），无全人工金标准。</w:t>
      </w:r>
    </w:p>
    <w:p>
      <w:r>
        <w:rPr>
          <w:b w:val="0"/>
        </w:rPr>
        <w:t>4b）</w:t>
      </w:r>
      <w:r>
        <w:rPr>
          <w:b/>
        </w:rPr>
        <w:t>人工验收为单盲、非双盲（2026-10-07 更正，Kimi R4-1）</w:t>
      </w:r>
      <w:r>
        <w:rPr>
          <w:b w:val="0"/>
        </w:rPr>
        <w:t>：验收卡只隐藏模型分数，</w:t>
      </w:r>
      <w:r>
        <w:rPr>
          <w:b/>
        </w:rPr>
        <w:t>臂归属（触发／未触发）对判定者可见</w:t>
      </w:r>
      <w:r>
        <w:rPr>
          <w:b w:val="0"/>
        </w:rPr>
        <w:t>，故存在</w:t>
      </w:r>
      <w:r>
        <w:rPr>
          <w:b/>
        </w:rPr>
        <w:t>朝模型方向的同化偏差</w:t>
      </w:r>
      <w:r>
        <w:rPr>
          <w:b w:val="0"/>
        </w:rPr>
        <w:t>（触发臂更易被确认；未触发臂更易被忽略）。实际判定中否决比例较高（触发臂 42 条中否 10），偏差未主导结果；</w:t>
      </w:r>
      <w:r>
        <w:rPr>
          <w:b/>
        </w:rPr>
        <w:t>但所有「人工盲判」数字均应在此前提下引用</w:t>
      </w:r>
      <w:r>
        <w:rPr>
          <w:b w:val="0"/>
        </w:rPr>
        <w:t>，并同屏标注 κ 0.33。</w:t>
      </w:r>
    </w:p>
    <w:p>
      <w:r>
        <w:t>5）真实用户验证：本轮未开展真实卖家试用（客观原因：无跨境电商渠道），产品价值主张目前由成本与吞吐的客观测算支撑，尚无真实卖家证言。</w:t>
      </w:r>
    </w:p>
    <w:p>
      <w:r>
        <w:rPr>
          <w:b w:val="0"/>
        </w:rPr>
        <w:t>6）</w:t>
      </w:r>
      <w:r>
        <w:rPr>
          <w:b/>
        </w:rPr>
        <w:t>语言覆盖（边界已实测精确化，2026-10-01）</w:t>
      </w:r>
      <w:r>
        <w:rPr>
          <w:b w:val="0"/>
        </w:rPr>
        <w:t>：系统按英文训练。实际过滤规则是「</w:t>
      </w:r>
      <w:r>
        <w:rPr>
          <w:b/>
        </w:rPr>
        <w:t>非拉丁字母</w:t>
      </w:r>
      <w:r>
        <w:rPr>
          <w:b w:val="0"/>
        </w:rPr>
        <w:t>文本（中文／日文／韩文／西里尔／希腊／阿拉伯等）占比 &gt; 30% 或全无拉丁字母时显式拒绝并计数」——它</w:t>
      </w:r>
      <w:r>
        <w:rPr>
          <w:b/>
        </w:rPr>
        <w:t>不是语种识别器</w:t>
      </w:r>
      <w:r>
        <w:rPr>
          <w:b w:val="0"/>
        </w:rPr>
        <w:t>：</w:t>
      </w:r>
      <w:r>
        <w:rPr>
          <w:b/>
        </w:rPr>
        <w:t>德文／法文／西班牙文／印尼文等拉丁字母语言不会被拒绝</w:t>
      </w:r>
      <w:r>
        <w:rPr>
          <w:b w:val="0"/>
        </w:rPr>
        <w:t>，而会照常进入判定，其表现</w:t>
      </w:r>
      <w:r>
        <w:rPr>
          <w:b/>
        </w:rPr>
        <w:t>未经测试</w:t>
      </w:r>
      <w:r>
        <w:rPr>
          <w:b w:val="0"/>
        </w:rPr>
        <w:t>（实测例：德文句子被判为「音质正常 0.0%」）。多语言支持需真正的语种识别与相应训练数据，属后续工作。</w:t>
      </w:r>
    </w:p>
    <w:p>
      <w:r>
        <w:rPr>
          <w:b w:val="0"/>
        </w:rPr>
        <w:t>7）跨品类泛化：</w:t>
      </w:r>
      <w:r>
        <w:rPr>
          <w:b/>
        </w:rPr>
        <w:t>已完成一次实证（音箱，2026-10-06）</w:t>
      </w:r>
      <w:r>
        <w:rPr>
          <w:b w:val="0"/>
        </w:rPr>
        <w:t>——冻结留出集 612 条（正例 47，</w:t>
      </w:r>
      <w:r>
        <w:rPr>
          <w:b/>
        </w:rPr>
        <w:t>先去重再划分</w:t>
      </w:r>
      <w:r>
        <w:rPr>
          <w:b w:val="0"/>
        </w:rPr>
        <w:t>，跨侧内容交集 0），以出厂判别器为底座微调 40 分钟：</w:t>
      </w:r>
      <w:r>
        <w:rPr>
          <w:b/>
        </w:rPr>
        <w:t>F1@0.5 0.9565（P 97.8／R 93.6）</w:t>
      </w:r>
      <w:r>
        <w:rPr>
          <w:b w:val="0"/>
        </w:rPr>
        <w:t>、F1@0.9 0.9091。</w:t>
      </w:r>
    </w:p>
    <w:p>
      <w:r>
        <w:rPr>
          <w:b/>
        </w:rPr>
        <w:t>口径与边界（必须同屏）</w:t>
      </w:r>
      <w:r>
        <w:rPr>
          <w:b w:val="0"/>
        </w:rPr>
        <w:t>：</w:t>
      </w:r>
      <w:r>
        <w:rPr>
          <w:b/>
        </w:rPr>
        <w:t>人工口径</w:t>
      </w:r>
      <w:r>
        <w:rPr>
          <w:b w:val="0"/>
        </w:rPr>
        <w:t>（留出集内触发的全部 42 条普查 ＋ 未触发池抽 50）：</w:t>
      </w:r>
      <w:r>
        <w:rPr>
          <w:b/>
        </w:rPr>
        <w:t>精确率 71.4%（30/42，Wilson CI 56–83%）；召回：</w:t>
      </w:r>
      <w:r>
        <w:rPr>
          <w:b w:val="0"/>
        </w:rPr>
        <w:t>未触发样本 0/50 为真阳</w:t>
      </w:r>
      <w:r>
        <w:rPr>
          <w:b/>
        </w:rPr>
        <w:t>（点估计 100%、下界 46.9%，区间宽——</w:t>
      </w:r>
      <w:r>
        <w:rPr>
          <w:b w:val="0"/>
        </w:rPr>
        <w:t>不可读作「没有漏判」</w:t>
      </w:r>
      <w:r>
        <w:rPr>
          <w:b/>
        </w:rPr>
        <w:t>）</w:t>
      </w:r>
      <w:r>
        <w:rPr>
          <w:b w:val="0"/>
        </w:rPr>
        <w:t>；</w:t>
      </w:r>
      <w:r>
        <w:rPr>
          <w:b/>
        </w:rPr>
        <w:t>LLM 标签口径</w:t>
      </w:r>
      <w:r>
        <w:rPr>
          <w:b w:val="0"/>
        </w:rPr>
        <w:t>为 P 97.8／R 93.6——</w:t>
      </w:r>
      <w:r>
        <w:rPr>
          <w:b/>
        </w:rPr>
        <w:t>两套不可混用，LLM 口径高估约 26 个点</w:t>
      </w:r>
      <w:r>
        <w:rPr>
          <w:b w:val="0"/>
        </w:rPr>
        <w:t xml:space="preserve">（本项目第 3 次出现同一规律）；现货正例确认率 </w:t>
      </w:r>
      <w:r>
        <w:rPr>
          <w:b/>
        </w:rPr>
        <w:t>96.6%</w:t>
      </w:r>
      <w:r>
        <w:rPr>
          <w:b w:val="0"/>
        </w:rPr>
        <w:t>（n=29）；</w:t>
      </w:r>
      <w:r>
        <w:rPr>
          <w:b/>
        </w:rPr>
        <w:t>同语料、同语言（英文）、同源数据</w:t>
      </w:r>
      <w:r>
        <w:rPr>
          <w:b w:val="0"/>
        </w:rPr>
        <w:t>，故这是「相邻品类 ＋ 同源数据」的实证，</w:t>
      </w:r>
      <w:r>
        <w:rPr>
          <w:b/>
        </w:rPr>
        <w:t>不可外推为跨语言或跨平台可用</w:t>
      </w:r>
      <w:r>
        <w:rPr>
          <w:b w:val="0"/>
        </w:rPr>
        <w:t>；迁移成本估算见附录 F。</w:t>
      </w:r>
      <w:r>
        <w:rPr>
          <w:b/>
        </w:rPr>
        <w:t>未做从零训练的对照</w:t>
      </w:r>
      <w:r>
        <w:rPr>
          <w:b w:val="0"/>
        </w:rPr>
        <w:t>，故无法分离「底座迁移」与「管线能力」的贡献（Kimi R4 提示）——本行只主张「音频域模型可迁移」，不主张管线本身的增益。</w:t>
      </w:r>
    </w:p>
    <w:p>
      <w:r>
        <w:rPr>
          <w:b w:val="0"/>
        </w:rPr>
        <w:t>8）</w:t>
      </w:r>
      <w:r>
        <w:rPr>
          <w:b/>
        </w:rPr>
        <w:t>覆盖边界：评测集只覆盖「关键词可达 × 已复核星级」子集（实测；分类与判定均为 LLM／AI 口径，未经人工校准）</w:t>
      </w:r>
      <w:r>
        <w:rPr>
          <w:b w:val="0"/>
        </w:rPr>
        <w:t>：标签集由「关键词初筛 → LLM 复核（限低星）」产生，故 val_v3_test 的 128 条正例 100% 含一阶关键词，四五星与无关键词评论在构造上都不会被标为正例。凭证到位后完成两处实测（DeepSeek API，599 次判定，约 0.02 美元；</w:t>
      </w:r>
      <w:r>
        <w:rPr>
          <w:b/>
        </w:rPr>
        <w:t>分类由执行方 AI 逐条判定、未经人工复核</w:t>
      </w:r>
      <w:r>
        <w:rPr>
          <w:b w:val="0"/>
        </w:rPr>
        <w:t xml:space="preserve">）：① </w:t>
      </w:r>
      <w:r>
        <w:rPr>
          <w:b/>
        </w:rPr>
        <w:t>四五星候选池</w:t>
      </w:r>
      <w:r>
        <w:rPr>
          <w:b w:val="0"/>
        </w:rPr>
        <w:t>（12,744 条）按（星级×关键词）分层抽 293 条 → LLM 判正 31 条，其中</w:t>
      </w:r>
      <w:r>
        <w:rPr>
          <w:b/>
        </w:rPr>
        <w:t>明确耳机音质类 3 条、无法判断 6 条、其余 22 条为跨品类</w:t>
      </w:r>
      <w:r>
        <w:rPr>
          <w:b w:val="0"/>
        </w:rPr>
        <w:t xml:space="preserve">（便携音箱/收音机/显示器/风扇等）→ 分层估计 </w:t>
      </w:r>
      <w:r>
        <w:rPr>
          <w:b/>
        </w:rPr>
        <w:t>≈20 条（严格，95% CI 0–50）／≈95 条（宽松，含无法判断，CI 19–171）</w:t>
      </w:r>
      <w:r>
        <w:rPr>
          <w:b w:val="0"/>
        </w:rPr>
        <w:t xml:space="preserve">未被复核；② </w:t>
      </w:r>
      <w:r>
        <w:rPr>
          <w:b/>
        </w:rPr>
        <w:t>关键词之外</w:t>
      </w:r>
      <w:r>
        <w:rPr>
          <w:b w:val="0"/>
        </w:rPr>
        <w:t xml:space="preserve">（87,071 条）随机抽 300 条 → </w:t>
      </w:r>
      <w:r>
        <w:rPr>
          <w:b/>
        </w:rPr>
        <w:t>明确耳机音质类 4 条（1.33%）</w:t>
      </w:r>
      <w:r>
        <w:rPr>
          <w:b w:val="0"/>
        </w:rPr>
        <w:t xml:space="preserve"> → 外推 </w:t>
      </w:r>
      <w:r>
        <w:rPr>
          <w:b/>
        </w:rPr>
        <w:t>≈1,161 条（95% CI 452–2,941）</w:t>
      </w:r>
      <w:r>
        <w:rPr>
          <w:b w:val="0"/>
        </w:rPr>
        <w:t>根本不会进入管线。</w:t>
      </w:r>
      <w:r>
        <w:rPr>
          <w:b/>
        </w:rPr>
        <w:t>含义（口径必须成对，不得混用）</w:t>
      </w:r>
      <w:r>
        <w:rPr>
          <w:b w:val="0"/>
        </w:rPr>
        <w:t>：语料内</w:t>
      </w:r>
      <w:r>
        <w:rPr>
          <w:b/>
        </w:rPr>
        <w:t>声学相关抱怨</w:t>
      </w:r>
      <w:r>
        <w:rPr>
          <w:b w:val="0"/>
        </w:rPr>
        <w:t xml:space="preserve">总量约 </w:t>
      </w:r>
      <w:r>
        <w:rPr>
          <w:b/>
        </w:rPr>
        <w:t>2,461–2,826 条</w:t>
      </w:r>
      <w:r>
        <w:rPr>
          <w:b w:val="0"/>
        </w:rPr>
        <w:t>（</w:t>
      </w:r>
      <w:r>
        <w:rPr>
          <w:b/>
        </w:rPr>
        <w:t>并非全部是耳机音质差评</w:t>
      </w:r>
      <w:r>
        <w:rPr>
          <w:b w:val="0"/>
        </w:rPr>
        <w:t xml:space="preserve">：已标注正例中耳机家族约 </w:t>
      </w:r>
      <w:r>
        <w:rPr>
          <w:b/>
        </w:rPr>
        <w:t>41.4%</w:t>
      </w:r>
      <w:r>
        <w:rPr>
          <w:b w:val="0"/>
        </w:rPr>
        <w:t xml:space="preserve">，人工校准后估计真实耳机音质差评约 </w:t>
      </w:r>
      <w:r>
        <w:rPr>
          <w:b/>
        </w:rPr>
        <w:t>380–400 条</w:t>
      </w:r>
      <w:r>
        <w:rPr>
          <w:b w:val="0"/>
        </w:rPr>
        <w:t xml:space="preserve">），现有标签集约占 </w:t>
      </w:r>
      <w:r>
        <w:rPr>
          <w:b/>
        </w:rPr>
        <w:t>52.0%–45.3%</w:t>
      </w:r>
      <w:r>
        <w:rPr>
          <w:b w:val="0"/>
        </w:rPr>
        <w:t xml:space="preserve">（人工佐证口径 </w:t>
      </w:r>
      <w:r>
        <w:rPr>
          <w:b/>
        </w:rPr>
        <w:t>48.5%–42.0%</w:t>
      </w:r>
      <w:r>
        <w:rPr>
          <w:b w:val="0"/>
        </w:rPr>
        <w:t>）；故 F1@调优 0.7220 等指标的适用范围是「关键词可达 × 已复核星级」子集，</w:t>
      </w:r>
      <w:r>
        <w:rPr>
          <w:b/>
        </w:rPr>
        <w:t>全语料召回显著更低</w:t>
      </w:r>
      <w:r>
        <w:rPr>
          <w:b w:val="0"/>
        </w:rPr>
        <w:t>。</w:t>
      </w:r>
      <w:r>
        <w:rPr>
          <w:b/>
        </w:rPr>
        <w:t>这不是指标错误，而是实测出的覆盖边界</w:t>
      </w:r>
      <w:r>
        <w:rPr>
          <w:b w:val="0"/>
        </w:rPr>
        <w:t>（主要缺口在关键词之外）；补充人群未并入训练/评估，对现有指标无追溯影响。改进路径（v3 工作量）：加「是否耳机」前置过滤、去掉星级筛选、闸门改为模型概率直判。详见 docs/scoped_findings.md、v2/scoped_estimates.json、v2/ai_scope_classification.json。</w:t>
      </w:r>
    </w:p>
    <w:p>
      <w:r>
        <w:rPr>
          <w:b/>
          <w:sz w:val="26"/>
        </w:rPr>
        <w:t>附录 C　已知表述勘误与口径演进</w:t>
      </w:r>
    </w:p>
    <w:p>
      <w:r>
        <w:rPr>
          <w:b w:val="0"/>
        </w:rPr>
        <w:t>9）</w:t>
      </w:r>
      <w:r>
        <w:rPr>
          <w:b/>
        </w:rPr>
        <w:t>两代模型的关系（2026-10-05 更新）</w:t>
      </w:r>
      <w:r>
        <w:rPr>
          <w:b w:val="0"/>
        </w:rPr>
        <w:t>：</w:t>
      </w:r>
      <w:r>
        <w:rPr>
          <w:b/>
        </w:rPr>
        <w:t>LLM 标签口径下</w:t>
      </w:r>
      <w:r>
        <w:rPr>
          <w:b w:val="0"/>
        </w:rPr>
        <w:t xml:space="preserve">不主张 v2 优于 v1（v1 0.7759 vs v2 0.7220，CI 重叠）；但 </w:t>
      </w:r>
      <w:r>
        <w:rPr>
          <w:b/>
        </w:rPr>
        <w:t>10-05 人工盲判同卡对照推翻了该排序</w:t>
      </w:r>
      <w:r>
        <w:rPr>
          <w:b w:val="0"/>
        </w:rPr>
        <w:t>（v2 62.1%／73.3% vs v1 42.0%／46.5%，登记表 X-26），</w:t>
      </w:r>
      <w:r>
        <w:rPr>
          <w:b/>
        </w:rPr>
        <w:t>且出厂自 10-05 起为判别器</w:t>
      </w:r>
      <w:r>
        <w:rPr>
          <w:b w:val="0"/>
        </w:rPr>
        <w:t>（X-27，人工口径 P 75–78%／R 68.3%）；阅读本节请以登记表 X-25～X-28 为准。原实测：把 v1（复赛产品模型）与 v2（决赛候选）放在</w:t>
      </w:r>
      <w:r>
        <w:rPr>
          <w:b/>
        </w:rPr>
        <w:t>同一个</w:t>
      </w:r>
      <w:r>
        <w:rPr>
          <w:b w:val="0"/>
        </w:rPr>
        <w:t xml:space="preserve"> val_v3_test 上、阈值按同一规则在 val_v3_tune 上选，得：</w:t>
      </w:r>
      <w:r>
        <w:rPr>
          <w:b/>
        </w:rPr>
        <w:t>v1 0.7759（95% CI 0.721–0.826）vs v2 0.7220（0.655–0.786）</w:t>
      </w:r>
      <w:r>
        <w:rPr>
          <w:b w:val="0"/>
        </w:rPr>
        <w:t>——点估计偏向 v1，两者区间重叠，</w:t>
      </w:r>
      <w:r>
        <w:rPr>
          <w:b/>
        </w:rPr>
        <w:t>差异统计上不可分辨</w:t>
      </w:r>
      <w:r>
        <w:rPr>
          <w:b w:val="0"/>
        </w:rPr>
        <w:t>；固定 0.5 档为 v1 0.6893 / v2 0.7206。此外 v1 的数字另有疑点：v1 训练所用标签文件在评测重建前，</w:t>
      </w:r>
      <w:r>
        <w:rPr>
          <w:b/>
        </w:rPr>
        <w:t>对称推理</w:t>
      </w:r>
      <w:r>
        <w:rPr>
          <w:b w:val="0"/>
        </w:rPr>
        <w:t>显示当前测试集可能有约 80% 的行落在 v1 的早期训练集内（镜像泄漏，本仓库无法验证，因早期文件已不在）。复刻 v1 的 1:10 欠采样配方重训 v2 得 0.6273，说明</w:t>
      </w:r>
      <w:r>
        <w:rPr>
          <w:b/>
        </w:rPr>
        <w:t>配方差异也不是 v2 得分较低的解释</w:t>
      </w:r>
      <w:r>
        <w:rPr>
          <w:b w:val="0"/>
        </w:rPr>
        <w:t>。</w:t>
      </w:r>
      <w:r>
        <w:rPr>
          <w:b/>
        </w:rPr>
        <w:t>归因数字的来源同样须点明</w:t>
      </w:r>
      <w:r>
        <w:rPr>
          <w:b w:val="0"/>
        </w:rPr>
        <w:t>：本报告引用的归因宏 F1 0.8273 与高音 0.5333 出自</w:t>
      </w:r>
      <w:r>
        <w:rPr>
          <w:b/>
        </w:rPr>
        <w:t>未更换权重的 v1 归因模型</w:t>
      </w:r>
      <w:r>
        <w:rPr>
          <w:b w:val="0"/>
        </w:rPr>
        <w:t>，只是改用了逐类阈值（tune 选）——同一模型在统一 0.5 档为宏 F1 0.7180、高音 0.0000，故该跳变主要来自</w:t>
      </w:r>
      <w:r>
        <w:rPr>
          <w:b/>
        </w:rPr>
        <w:t>阈值选择与测试集切换</w:t>
      </w:r>
      <w:r>
        <w:rPr>
          <w:b w:val="0"/>
        </w:rPr>
        <w:t>，不是模型能力提升；且两侧标签同源（LLM），</w:t>
      </w:r>
      <w:r>
        <w:rPr>
          <w:b/>
        </w:rPr>
        <w:t>未经人工校准</w:t>
      </w:r>
      <w:r>
        <w:rPr>
          <w:b w:val="0"/>
        </w:rPr>
        <w:t>。详见 docs/three_stage_comparison.md §3.2–3.3。</w:t>
      </w:r>
    </w:p>
    <w:p>
      <w:r>
        <w:rPr>
          <w:b w:val="0"/>
        </w:rPr>
        <w:t>6）</w:t>
      </w:r>
      <w:r>
        <w:rPr>
          <w:b/>
        </w:rPr>
        <w:t>覆盖总量区间口径（本轮新增勘误）</w:t>
      </w:r>
      <w:r>
        <w:rPr>
          <w:b w:val="0"/>
        </w:rPr>
        <w:t xml:space="preserve">：该区间先后出现过三个版本——初版 </w:t>
      </w:r>
      <w:r>
        <w:rPr>
          <w:b/>
        </w:rPr>
        <w:t>2,460–2,730／47%–52%</w:t>
      </w:r>
      <w:r>
        <w:rPr>
          <w:b w:val="0"/>
        </w:rPr>
        <w:t xml:space="preserve">、重估文档初稿 </w:t>
      </w:r>
      <w:r>
        <w:rPr>
          <w:b/>
        </w:rPr>
        <w:t>2,460–2,540／51%–45%</w:t>
      </w:r>
      <w:r>
        <w:rPr>
          <w:b w:val="0"/>
        </w:rPr>
        <w:t xml:space="preserve">、现版 </w:t>
      </w:r>
      <w:r>
        <w:rPr>
          <w:b/>
        </w:rPr>
        <w:t>2,461（严格–严格，52.0%）／2,826（宽松–宽松，45.3%）</w:t>
      </w:r>
      <w:r>
        <w:rPr>
          <w:b w:val="0"/>
        </w:rPr>
        <w:t>。前两版的共同错误是</w:t>
      </w:r>
      <w:r>
        <w:rPr>
          <w:b/>
        </w:rPr>
        <w:t>两端混用分类口径</w:t>
      </w:r>
      <w:r>
        <w:rPr>
          <w:b w:val="0"/>
        </w:rPr>
        <w:t>（宽松 W4 配严格闸门外）。现已在 docs/scoped_findings.md 写明</w:t>
      </w:r>
      <w:r>
        <w:rPr>
          <w:b/>
        </w:rPr>
        <w:t>成对规则</w:t>
      </w:r>
      <w:r>
        <w:rPr>
          <w:b w:val="0"/>
        </w:rPr>
        <w:t>，并新增机械检查 check_paired_totals 防止再犯。数字更正不影响任何模型指标（该区间是覆盖边界的估计，不是模型性能）。</w:t>
      </w:r>
    </w:p>
    <w:p>
      <w:r>
        <w:rPr>
          <w:b w:val="0"/>
        </w:rPr>
        <w:t>7）</w:t>
      </w:r>
      <w:r>
        <w:rPr>
          <w:b/>
        </w:rPr>
        <w:t>叙事层更正（2026-10-01，红队质询后）</w:t>
      </w:r>
      <w:r>
        <w:rPr>
          <w:b w:val="0"/>
        </w:rPr>
        <w:t>：内部对照材料曾把三阶段的指标排成「0.37 → 0.6871 → 0.7220」的上升线，并称 v2 的提升来自长文本窗口与标签修正。</w:t>
      </w:r>
      <w:r>
        <w:rPr>
          <w:b/>
        </w:rPr>
        <w:t>两处均已撤回</w:t>
      </w:r>
      <w:r>
        <w:rPr>
          <w:b w:val="0"/>
        </w:rPr>
        <w:t>：① 三个数不同语料、不同验证集、不同正例数（13/251/128），</w:t>
      </w:r>
      <w:r>
        <w:rPr>
          <w:b/>
        </w:rPr>
        <w:t>不可排成上升线</w:t>
      </w:r>
      <w:r>
        <w:rPr>
          <w:b w:val="0"/>
        </w:rPr>
        <w:t xml:space="preserve">；② 同基准实验显示 </w:t>
      </w:r>
      <w:r>
        <w:rPr>
          <w:b/>
        </w:rPr>
        <w:t>v2 并不优于 v1</w:t>
      </w:r>
      <w:r>
        <w:rPr>
          <w:b w:val="0"/>
        </w:rPr>
        <w:t xml:space="preserve">（v1 0.7759 vs v2 0.7220，CI 重叠），复刻 v1 配方重训亦仅 0.6273 → </w:t>
      </w:r>
      <w:r>
        <w:rPr>
          <w:b/>
        </w:rPr>
        <w:t>原归因无证据支持</w:t>
      </w:r>
      <w:r>
        <w:rPr>
          <w:b w:val="0"/>
        </w:rPr>
        <w:t>。本报告正文与附录 A/B 从未包含该提升断言，此条仅记录内部材料的更正，以确保读者不会从别处读到已被撤回的说法。</w:t>
      </w:r>
    </w:p>
    <w:p>
      <w:r>
        <w:rPr>
          <w:b w:val="0"/>
        </w:rPr>
        <w:t>8）</w:t>
      </w:r>
      <w:r>
        <w:rPr>
          <w:b/>
        </w:rPr>
        <w:t>人工金标首轮（2026-10-02，独立于 LLM 的真值）</w:t>
      </w:r>
      <w:r>
        <w:rPr>
          <w:b w:val="0"/>
        </w:rPr>
        <w:t xml:space="preserve">：决策方逐条判定 300 条（S1 闸门外随机／S2 四五星池／S3 已标注集各 100，随机种子 42）。要点：① 总体一致率 83.5%、κ 0.328；② </w:t>
      </w:r>
      <w:r>
        <w:rPr>
          <w:b/>
        </w:rPr>
        <w:t>闸门外真阳性率已获独立人工佐证，且须以区间表述（2026-10-02，三轮共 294 条人工判定）</w:t>
      </w:r>
      <w:r>
        <w:rPr>
          <w:b w:val="0"/>
        </w:rPr>
        <w:t xml:space="preserve">：S1 首轮 3/95（3.16%）→ S4 追加 0/100 → </w:t>
      </w:r>
      <w:r>
        <w:rPr>
          <w:b/>
        </w:rPr>
        <w:t>S5 干净探针（未见过条目、随机两臂）0/99</w:t>
      </w:r>
      <w:r>
        <w:rPr>
          <w:b w:val="0"/>
        </w:rPr>
        <w:t xml:space="preserve">，合并 </w:t>
      </w:r>
      <w:r>
        <w:rPr>
          <w:b/>
        </w:rPr>
        <w:t>3/294 = 1.02%（95% CI 0.35%–2.96%）</w:t>
      </w:r>
      <w:r>
        <w:rPr>
          <w:b w:val="0"/>
        </w:rPr>
        <w:t xml:space="preserve">，与原 LLM 口径 1.33% 相容。据此覆盖率：点估计 </w:t>
      </w:r>
      <w:r>
        <w:rPr>
          <w:b/>
        </w:rPr>
        <w:t>58.5%（严格）／51.5%（宽松）</w:t>
      </w:r>
      <w:r>
        <w:rPr>
          <w:b w:val="0"/>
        </w:rPr>
        <w:t>，</w:t>
      </w:r>
      <w:r>
        <w:rPr>
          <w:b/>
        </w:rPr>
        <w:t>95% 区间为 33.0%–79.9%</w:t>
      </w:r>
      <w:r>
        <w:rPr>
          <w:b w:val="0"/>
        </w:rPr>
        <w:t>——该估计随样本量演化（n=95→3.16%、n=195→1.54%、n=294→1.02%，每次由 1–2 条正例驱动），</w:t>
      </w:r>
      <w:r>
        <w:rPr>
          <w:b/>
        </w:rPr>
        <w:t>故材料报区间；原报 52.0%／45.3% 落在区间内，不被推翻，但精度有限</w:t>
      </w:r>
      <w:r>
        <w:rPr>
          <w:b w:val="0"/>
        </w:rPr>
        <w:t>。另：</w:t>
      </w:r>
      <w:r>
        <w:rPr>
          <w:b/>
        </w:rPr>
        <w:t>材料效应为零</w:t>
      </w:r>
      <w:r>
        <w:rPr>
          <w:b w:val="0"/>
        </w:rPr>
        <w:t>——S5 对照组（只给原文）与实验组（带翻译与解析）正例率均为 0/49 与 0/50，Fisher 精确 p=1.000，即无证据表明执行方材料会推高正例判定；同一批 300 条在两份不同卡上的一致率 91.0%、改判 9.0% 且</w:t>
      </w:r>
      <w:r>
        <w:rPr>
          <w:b/>
        </w:rPr>
        <w:t>无一条翻向「是」</w:t>
      </w:r>
      <w:r>
        <w:rPr>
          <w:b w:val="0"/>
        </w:rPr>
        <w:t xml:space="preserve">；③ </w:t>
      </w:r>
      <w:r>
        <w:rPr>
          <w:b/>
        </w:rPr>
        <w:t>S3 显示已标注正例的 LLM 精确率仅 30.2%（CI 18.6%–45.1%）</w:t>
      </w:r>
      <w:r>
        <w:rPr>
          <w:b w:val="0"/>
        </w:rPr>
        <w:t xml:space="preserve">，召回 86.7%；误判的 30 条中 </w:t>
      </w:r>
      <w:r>
        <w:rPr>
          <w:b/>
        </w:rPr>
        <w:t>28 条为口径外产品</w:t>
      </w:r>
      <w:r>
        <w:rPr>
          <w:b w:val="0"/>
        </w:rPr>
        <w:t>（条形音箱／蓝牙音箱／线缆／天线／音频眼镜等），仅 2 条为耳机类真误标——故「1,280 正例」应改述为「</w:t>
      </w:r>
      <w:r>
        <w:rPr>
          <w:b/>
        </w:rPr>
        <w:t>声学相关抱怨集</w:t>
      </w:r>
      <w:r>
        <w:rPr>
          <w:b w:val="0"/>
        </w:rPr>
        <w:t xml:space="preserve">」，相应指标口径须加「声学抱怨（非严格耳机音质）」限定；④ </w:t>
      </w:r>
      <w:r>
        <w:rPr>
          <w:b/>
        </w:rPr>
        <w:t>S2 层 κ 为 −0.072（低于随机）</w:t>
      </w:r>
      <w:r>
        <w:rPr>
          <w:b w:val="0"/>
        </w:rPr>
        <w:t>，W4 的 ≈20／≈95 估计</w:t>
      </w:r>
      <w:r>
        <w:rPr>
          <w:b/>
        </w:rPr>
        <w:t>未获独立支持</w:t>
      </w:r>
      <w:r>
        <w:rPr>
          <w:b w:val="0"/>
        </w:rPr>
        <w:t>，应标注为仅 LLM 口径。详见 docs/gold_set/gold_standard_findings.md（含决策队列 D-Q8）。</w:t>
      </w:r>
      <w:r>
        <w:rPr>
          <w:b/>
        </w:rPr>
        <w:t>口径全量量化（2026-10-02）</w:t>
      </w:r>
      <w:r>
        <w:rPr>
          <w:b w:val="0"/>
        </w:rPr>
        <w:t>：对 1,280 条已标注正例做产品口径判定（分类器经人工真值验证：召回 92%、误报 17%）——其中</w:t>
      </w:r>
      <w:r>
        <w:rPr>
          <w:b/>
        </w:rPr>
        <w:t>耳机家族仅约 530 条（41.4%）</w:t>
      </w:r>
      <w:r>
        <w:rPr>
          <w:b w:val="0"/>
        </w:rPr>
        <w:t>，其余为音箱（255）、其他音频（162）、非音频（109）、线缆（53）、无法判断（136）等；故本报告统一改述为「</w:t>
      </w:r>
      <w:r>
        <w:rPr>
          <w:b/>
        </w:rPr>
        <w:t>声学相关抱怨集</w:t>
      </w:r>
      <w:r>
        <w:rPr>
          <w:b w:val="0"/>
        </w:rPr>
        <w:t>」，相应指标口径须读作「声学抱怨（非严格耳机音质）」。</w:t>
      </w:r>
    </w:p>
    <w:p>
      <w:r>
        <w:rPr>
          <w:b/>
        </w:rPr>
        <w:t>跨模型校验（2026-10-02）</w:t>
      </w:r>
      <w:r>
        <w:rPr>
          <w:b w:val="0"/>
        </w:rPr>
        <w:t xml:space="preserve">：用另一模型家族（qwen3.7-plus）对同 300 条做第二判定，一致率 </w:t>
      </w:r>
      <w:r>
        <w:rPr>
          <w:b/>
        </w:rPr>
        <w:t>95.3%</w:t>
      </w:r>
      <w:r>
        <w:rPr>
          <w:b w:val="0"/>
        </w:rPr>
        <w:t xml:space="preserve">、κ </w:t>
      </w:r>
      <w:r>
        <w:rPr>
          <w:b/>
        </w:rPr>
        <w:t>0.845</w:t>
      </w:r>
      <w:r>
        <w:rPr>
          <w:b w:val="0"/>
        </w:rPr>
        <w:t>——与「LLM 正例对人工精确率仅 30.2%」</w:t>
      </w:r>
      <w:r>
        <w:rPr>
          <w:b/>
        </w:rPr>
        <w:t>同时成立</w:t>
      </w:r>
      <w:r>
        <w:rPr>
          <w:b w:val="0"/>
        </w:rPr>
        <w:t xml:space="preserve">，说明两家族 LLM </w:t>
      </w:r>
      <w:r>
        <w:rPr>
          <w:b/>
        </w:rPr>
        <w:t>高度一致地共同偏离人工口径</w:t>
      </w:r>
      <w:r>
        <w:rPr>
          <w:b w:val="0"/>
        </w:rPr>
        <w:t>；故本报告</w:t>
      </w:r>
      <w:r>
        <w:rPr>
          <w:b/>
        </w:rPr>
        <w:t>不把跨模型一致当作可信度背书</w:t>
      </w:r>
      <w:r>
        <w:rPr>
          <w:b w:val="0"/>
        </w:rPr>
        <w:t>，只用来回答「换模型结论会不会变」，答案是不会。</w:t>
      </w:r>
    </w:p>
    <w:p>
      <w:r>
        <w:rPr>
          <w:b w:val="0"/>
        </w:rPr>
        <w:t>9）</w:t>
      </w:r>
      <w:r>
        <w:rPr>
          <w:b/>
        </w:rPr>
        <w:t>范围内重评（2026-10-02，纯后处理）</w:t>
      </w:r>
      <w:r>
        <w:rPr>
          <w:b w:val="0"/>
        </w:rPr>
        <w:t xml:space="preserve">：把冻结点测集按产品口径切分后分别报告（阈值取自 v2/threshold.json，使用现成概率缓存，未重跑模型）：全测试集 10,000 条／正例 128 → </w:t>
      </w:r>
      <w:r>
        <w:rPr>
          <w:b/>
        </w:rPr>
        <w:t>F1@0.5 0.7206、F1@调优 0.7220、PR-AUC 0.7811</w:t>
      </w:r>
      <w:r>
        <w:rPr>
          <w:b w:val="0"/>
        </w:rPr>
        <w:t>；</w:t>
      </w:r>
      <w:r>
        <w:rPr>
          <w:b/>
        </w:rPr>
        <w:t>耳机家族 778 条／正例 48 → F1@0.5 0.6966、F1@调优 0.6897、PR-AUC 0.7783</w:t>
      </w:r>
      <w:r>
        <w:rPr>
          <w:b w:val="0"/>
        </w:rPr>
        <w:t>；明确口径外 6,858 条／正例 64 → 0.7302／0.7317／0.7918；无法判断 2,364 条／正例 16 → 0.7500／0.7742／0.7936。</w:t>
      </w:r>
      <w:r>
        <w:rPr>
          <w:b/>
        </w:rPr>
        <w:t>两点必须同时读</w:t>
      </w:r>
      <w:r>
        <w:rPr>
          <w:b w:val="0"/>
        </w:rPr>
        <w:t xml:space="preserve">：① 测试集 128 条正例中 </w:t>
      </w:r>
      <w:r>
        <w:rPr>
          <w:b/>
        </w:rPr>
        <w:t>80 条（62.5%）并非耳机音质差评</w:t>
      </w:r>
      <w:r>
        <w:rPr>
          <w:b w:val="0"/>
        </w:rPr>
        <w:t xml:space="preserve">；② </w:t>
      </w:r>
      <w:r>
        <w:rPr>
          <w:b/>
        </w:rPr>
        <w:t>限定到耳机口径并不会让指标变好</w:t>
      </w:r>
      <w:r>
        <w:rPr>
          <w:b w:val="0"/>
        </w:rPr>
        <w:t>（F1 0.6966 &lt; 0.7220，且组内仅 48 条正例）——故本项目</w:t>
      </w:r>
      <w:r>
        <w:rPr>
          <w:b/>
        </w:rPr>
        <w:t>不主张</w:t>
      </w:r>
      <w:r>
        <w:rPr>
          <w:b w:val="0"/>
        </w:rPr>
        <w:t>「收紧口径可提升性能」；该表回答的是「限定范围后指标长什么样」，不是新模型结果。详见 docs/inscope_reeval.md。</w:t>
      </w:r>
    </w:p>
    <w:p>
      <w:r>
        <w:rPr>
          <w:b w:val="0"/>
        </w:rPr>
        <w:t xml:space="preserve">10）⚠️ </w:t>
      </w:r>
      <w:r>
        <w:rPr>
          <w:b/>
        </w:rPr>
        <w:t>本条部分数字已于 2026-10-03 撤回</w:t>
      </w:r>
      <w:r>
        <w:rPr>
          <w:b w:val="0"/>
        </w:rPr>
        <w:t>（0.427／0.381／0.471 与「召回 0.000」属混合口径：人工样本 80.4% 落在 v2 训练侧，且划分世代混用）——</w:t>
      </w:r>
      <w:r>
        <w:rPr>
          <w:b/>
        </w:rPr>
        <w:t>结论方向保留</w:t>
      </w:r>
      <w:r>
        <w:rPr>
          <w:b w:val="0"/>
        </w:rPr>
        <w:t>（分布内与分布外差异显著），量化以第 11 条为准。以下为原始记录：10）</w:t>
      </w:r>
      <w:r>
        <w:rPr>
          <w:b/>
        </w:rPr>
        <w:t>真实场景性能（2026-10-02 新测，此前从未测量；本报告最重要的一条限制）</w:t>
      </w:r>
      <w:r>
        <w:rPr>
          <w:b w:val="0"/>
        </w:rPr>
        <w:t xml:space="preserve">：主指标 0.7220 报在「关键词可达 × 已复核星级」子集上、以 </w:t>
      </w:r>
      <w:r>
        <w:rPr>
          <w:b/>
        </w:rPr>
        <w:t>LLM 标签</w:t>
      </w:r>
      <w:r>
        <w:rPr>
          <w:b w:val="0"/>
        </w:rPr>
        <w:t>为准；而产品实际使用场景是</w:t>
      </w:r>
      <w:r>
        <w:rPr>
          <w:b/>
        </w:rPr>
        <w:t>卖家上传自己的评论</w:t>
      </w:r>
      <w:r>
        <w:rPr>
          <w:b w:val="0"/>
        </w:rPr>
        <w:t>（多数不含闸门关键词、正例率约 1%）。以决策方人工判定的 500 条（479 可比对、25 条确认为耳机音质差评）为真值，测出厂 v1（阈值 0.5）：</w:t>
      </w:r>
      <w:r>
        <w:rPr>
          <w:b/>
        </w:rPr>
        <w:t>S1+S4+S5 闸门外自然混合层（最接近真实使用）n=294、真阳 3 条 → TP 0／召回 0.000（已撤回）</w:t>
      </w:r>
      <w:r>
        <w:rPr>
          <w:b w:val="0"/>
        </w:rPr>
        <w:t>；S2 四五星池 n=96、真阳 7 → 精确 0.286／召回 0.286；S3 已标注集（50/50 人为平衡）n=89、真阳 15 → 精确 0.326／召回 0.933；</w:t>
      </w:r>
      <w:r>
        <w:rPr>
          <w:b/>
        </w:rPr>
        <w:t>混合合计 n=479 → 精确 0.320／召回 0.640／F1 0.427／PR-AUC 0.396（以上数字均已撤回，此处仅存原始记录）</w:t>
      </w:r>
      <w:r>
        <w:rPr>
          <w:b w:val="0"/>
        </w:rPr>
        <w:t>。</w:t>
      </w:r>
      <w:r>
        <w:rPr>
          <w:b/>
        </w:rPr>
        <w:t>读法</w:t>
      </w:r>
      <w:r>
        <w:rPr>
          <w:b w:val="0"/>
        </w:rPr>
        <w:t>：① 最接近真实使用的分层上，3 条人工确认正例</w:t>
      </w:r>
      <w:r>
        <w:rPr>
          <w:b/>
        </w:rPr>
        <w:t>一条未中</w:t>
      </w:r>
      <w:r>
        <w:rPr>
          <w:b w:val="0"/>
        </w:rPr>
        <w:t>（n 极小，但与「模型在闸门外几乎不触发」的既有观察一致）；② 混合样本上</w:t>
      </w:r>
      <w:r>
        <w:rPr>
          <w:b/>
        </w:rPr>
        <w:t>每 3 条告警约 2 条不是</w:t>
      </w:r>
      <w:r>
        <w:rPr>
          <w:b w:val="0"/>
        </w:rPr>
        <w:t>；③ S3 的高召回属</w:t>
      </w:r>
      <w:r>
        <w:rPr>
          <w:b/>
        </w:rPr>
        <w:t>同源循环</w:t>
      </w:r>
      <w:r>
        <w:rPr>
          <w:b w:val="0"/>
        </w:rPr>
        <w:t>（正例来自我们自己的标注管线），不能作为有效性证据；④ 结论：现有指标描述</w:t>
      </w:r>
      <w:r>
        <w:rPr>
          <w:b/>
        </w:rPr>
        <w:t>分布内</w:t>
      </w:r>
      <w:r>
        <w:rPr>
          <w:b w:val="0"/>
        </w:rPr>
        <w:t>表现，产品今天的实际价值应表述为「对</w:t>
      </w:r>
      <w:r>
        <w:rPr>
          <w:b/>
        </w:rPr>
        <w:t>关键词可达</w:t>
      </w:r>
      <w:r>
        <w:rPr>
          <w:b w:val="0"/>
        </w:rPr>
        <w:t>的评论做优先级排序」，</w:t>
      </w:r>
      <w:r>
        <w:rPr>
          <w:b/>
        </w:rPr>
        <w:t>不是</w:t>
      </w:r>
      <w:r>
        <w:rPr>
          <w:b w:val="0"/>
        </w:rPr>
        <w:t>「找出评论里所有耳机音质差评」；⑤ 修法属 v3（用范围内、无闸门偏置的标签重训，并在人工标注的无偏样本上重测）。详见 docs/realworld_eval.md 与 v2/realworld_eval.json。</w:t>
      </w:r>
    </w:p>
    <w:p>
      <w:r>
        <w:rPr>
          <w:b w:val="0"/>
        </w:rPr>
        <w:t>11）</w:t>
      </w:r>
      <w:r>
        <w:rPr>
          <w:b/>
        </w:rPr>
        <w:t>测量口径与分布外测量（2026-10-03 修订；</w:t>
      </w:r>
      <w:r>
        <w:rPr>
          <w:b w:val="0"/>
        </w:rPr>
        <w:t>取代第 10 条的量化</w:t>
      </w:r>
      <w:r>
        <w:rPr>
          <w:b/>
        </w:rPr>
        <w:t>）</w:t>
      </w:r>
      <w:r>
        <w:rPr>
          <w:b w:val="0"/>
        </w:rPr>
        <w:t xml:space="preserve">：① </w:t>
      </w:r>
      <w:r>
        <w:rPr>
          <w:b/>
        </w:rPr>
        <w:t>干净池测量</w:t>
      </w:r>
      <w:r>
        <w:rPr>
          <w:b w:val="0"/>
        </w:rPr>
        <w:t>：分母为</w:t>
      </w:r>
      <w:r>
        <w:rPr>
          <w:b/>
        </w:rPr>
        <w:t>构造池</w:t>
      </w:r>
      <w:r>
        <w:rPr>
          <w:b w:val="0"/>
        </w:rPr>
        <w:t xml:space="preserve">（留出侧＋闸门外＋从未训练＋从未判过），共 </w:t>
      </w:r>
      <w:r>
        <w:rPr>
          <w:b/>
        </w:rPr>
        <w:t>14,299 条</w:t>
      </w:r>
      <w:r>
        <w:rPr>
          <w:b w:val="0"/>
        </w:rPr>
        <w:t xml:space="preserve">（精确计数），其中出厂 v1 触发 </w:t>
      </w:r>
      <w:r>
        <w:rPr>
          <w:b/>
        </w:rPr>
        <w:t>15 条 = 0.105%</w:t>
      </w:r>
      <w:r>
        <w:rPr>
          <w:b w:val="0"/>
        </w:rPr>
        <w:t xml:space="preserve">（Wilson 95% CI </w:t>
      </w:r>
      <w:r>
        <w:rPr>
          <w:b/>
        </w:rPr>
        <w:t>0.064%–0.173%</w:t>
      </w:r>
      <w:r>
        <w:rPr>
          <w:b w:val="0"/>
        </w:rPr>
        <w:t xml:space="preserve">）；同期人工真值率约 1% 量级→ </w:t>
      </w:r>
      <w:r>
        <w:rPr>
          <w:b/>
        </w:rPr>
        <w:t>提示召回显著偏低</w:t>
      </w:r>
      <w:r>
        <w:rPr>
          <w:b w:val="0"/>
        </w:rPr>
        <w:t>——</w:t>
      </w:r>
      <w:r>
        <w:rPr>
          <w:b/>
        </w:rPr>
        <w:t>引用时上述三个成分必须与数字同屏</w:t>
      </w:r>
      <w:r>
        <w:rPr>
          <w:b w:val="0"/>
        </w:rPr>
        <w:t>，</w:t>
      </w:r>
      <w:r>
        <w:rPr>
          <w:b/>
        </w:rPr>
        <w:t>不得</w:t>
      </w:r>
      <w:r>
        <w:rPr>
          <w:b w:val="0"/>
        </w:rPr>
        <w:t xml:space="preserve">把它说成「产品在真实语料上的报警率」。② </w:t>
      </w:r>
      <w:r>
        <w:rPr>
          <w:b/>
        </w:rPr>
        <w:t>人工样本与训练划分的重叠</w:t>
      </w:r>
      <w:r>
        <w:rPr>
          <w:b w:val="0"/>
        </w:rPr>
        <w:t xml:space="preserve">：人工 500 条中 </w:t>
      </w:r>
      <w:r>
        <w:rPr>
          <w:b/>
        </w:rPr>
        <w:t>402 条（80.4%）落在 v2 训练侧</w:t>
      </w:r>
      <w:r>
        <w:rPr>
          <w:b w:val="0"/>
        </w:rPr>
        <w:t>，故按该样本计算的混合口径指标（0.427／0.381／0.471）</w:t>
      </w:r>
      <w:r>
        <w:rPr>
          <w:b/>
        </w:rPr>
        <w:t>已撤回</w:t>
      </w:r>
      <w:r>
        <w:rPr>
          <w:b w:val="0"/>
        </w:rPr>
        <w:t xml:space="preserve">。③ </w:t>
      </w:r>
      <w:r>
        <w:rPr>
          <w:b/>
        </w:rPr>
        <w:t>世代钉死</w:t>
      </w:r>
      <w:r>
        <w:rPr>
          <w:b w:val="0"/>
        </w:rPr>
        <w:t>：v1 训练输入 labeled_llm_before_treble.csv（7618d2976deffe56…）＋真留出侧 val_v2.csv（1779a6404323d7fb…）已登记，复现与训练日志</w:t>
      </w:r>
      <w:r>
        <w:rPr>
          <w:b/>
        </w:rPr>
        <w:t>四数全中</w:t>
      </w:r>
      <w:r>
        <w:rPr>
          <w:b w:val="0"/>
        </w:rPr>
        <w:t>；v2 训练输入为</w:t>
      </w:r>
      <w:r>
        <w:rPr>
          <w:b/>
        </w:rPr>
        <w:t>候选（待佐证）</w:t>
      </w:r>
      <w:r>
        <w:rPr>
          <w:b w:val="0"/>
        </w:rPr>
        <w:t xml:space="preserve">；未登记世代的划分一律标「不可复现」。详见 docs/split_manifest.md。④ </w:t>
      </w:r>
      <w:r>
        <w:rPr>
          <w:b/>
        </w:rPr>
        <w:t>探索性数字（不进正文/摘要/状态卡）</w:t>
      </w:r>
      <w:r>
        <w:rPr>
          <w:b w:val="0"/>
        </w:rPr>
        <w:t>：v1 真留出侧 112 条（可比对 109／正例 8）上，v1 命中 6 条、v2 命中 5 条（CI 大幅重叠，</w:t>
      </w:r>
      <w:r>
        <w:rPr>
          <w:b/>
        </w:rPr>
        <w:t>不可比优劣</w:t>
      </w:r>
      <w:r>
        <w:rPr>
          <w:b w:val="0"/>
        </w:rPr>
        <w:t>）；其中</w:t>
      </w:r>
      <w:r>
        <w:rPr>
          <w:b/>
        </w:rPr>
        <w:t>真实场景子集</w:t>
      </w:r>
      <w:r>
        <w:rPr>
          <w:b w:val="0"/>
        </w:rPr>
        <w:t>（S1+S4+S5，n=59）两者均命中 0 条。详见 docs/s2c_true_holdout.md。</w:t>
      </w:r>
    </w:p>
    <w:p>
      <w:r>
        <w:rPr>
          <w:b w:val="0"/>
        </w:rPr>
        <w:t>14）</w:t>
      </w:r>
      <w:r>
        <w:rPr>
          <w:b/>
        </w:rPr>
        <w:t>扩词表的独立检验（2026-10-03，预注册）</w:t>
      </w:r>
      <w:r>
        <w:rPr>
          <w:b w:val="0"/>
        </w:rPr>
        <w:t>：为验证「闸门外漏检是否只是词表缺口」，我们把候选扩词表（降噪/漏音/失真类 26 词）</w:t>
      </w:r>
      <w:r>
        <w:rPr>
          <w:b/>
        </w:rPr>
        <w:t>先冻结</w:t>
      </w:r>
      <w:r>
        <w:rPr>
          <w:b w:val="0"/>
        </w:rPr>
        <w:t>（audio_gate.py sha256 81df7375…）、再在「</w:t>
      </w:r>
      <w:r>
        <w:rPr>
          <w:b/>
        </w:rPr>
        <w:t>仅被扩词表覆盖、原闸门未覆盖</w:t>
      </w:r>
      <w:r>
        <w:rPr>
          <w:b w:val="0"/>
        </w:rPr>
        <w:t xml:space="preserve">」的 </w:t>
      </w:r>
      <w:r>
        <w:rPr>
          <w:b/>
        </w:rPr>
        <w:t>861</w:t>
      </w:r>
      <w:r>
        <w:rPr>
          <w:b w:val="0"/>
        </w:rPr>
        <w:t xml:space="preserve"> 条抽样框上随机抽 </w:t>
      </w:r>
      <w:r>
        <w:rPr>
          <w:b/>
        </w:rPr>
        <w:t>98 条</w:t>
      </w:r>
      <w:r>
        <w:rPr>
          <w:b w:val="0"/>
        </w:rPr>
        <w:t>人工盲判：</w:t>
      </w:r>
      <w:r>
        <w:rPr>
          <w:b/>
        </w:rPr>
        <w:t>P(真阳｜扩词表命中) = 9/100 = 9.0%</w:t>
      </w:r>
      <w:r>
        <w:rPr>
          <w:b w:val="0"/>
        </w:rPr>
        <w:t xml:space="preserve">（Wilson 95% CI 4.8%–16.2%；Clopper-Pearson 4.2%–16.4%）据此，扩词表在全语料可回收真阳约 </w:t>
      </w:r>
      <w:r>
        <w:rPr>
          <w:b/>
        </w:rPr>
        <w:t>78 条</w:t>
      </w:r>
      <w:r>
        <w:rPr>
          <w:b w:val="0"/>
        </w:rPr>
        <w:t>（区间 41–140）。</w:t>
      </w:r>
      <w:r>
        <w:rPr>
          <w:b/>
        </w:rPr>
        <w:t>三点必须同时读</w:t>
      </w:r>
      <w:r>
        <w:rPr>
          <w:b w:val="0"/>
        </w:rPr>
        <w:t xml:space="preserve">：① 命中者中约 </w:t>
      </w:r>
      <w:r>
        <w:rPr>
          <w:b/>
        </w:rPr>
        <w:t>91% 并不是</w:t>
      </w:r>
      <w:r>
        <w:rPr>
          <w:b w:val="0"/>
        </w:rPr>
        <w:t>真阳——闸门外总体以噪声为主，</w:t>
      </w:r>
      <w:r>
        <w:rPr>
          <w:b/>
        </w:rPr>
        <w:t>扩词表不是主要杠杆</w:t>
      </w:r>
      <w:r>
        <w:rPr>
          <w:b w:val="0"/>
        </w:rPr>
        <w:t>；② 先前基于 8 条（含写词表时看过的条目）得到的 37.5% 属</w:t>
      </w:r>
      <w:r>
        <w:rPr>
          <w:b/>
        </w:rPr>
        <w:t>事后拟合</w:t>
      </w:r>
      <w:r>
        <w:rPr>
          <w:b w:val="0"/>
        </w:rPr>
        <w:t>，独立检验把它下调到 9.0%（</w:t>
      </w:r>
      <w:r>
        <w:rPr>
          <w:b/>
        </w:rPr>
        <w:t>放大 4 倍</w:t>
      </w:r>
      <w:r>
        <w:rPr>
          <w:b w:val="0"/>
        </w:rPr>
        <w:t xml:space="preserve">）——这条同时实证了本项目「先冻结、后检验」纪律的价值；③ 本次判定 </w:t>
      </w:r>
      <w:r>
        <w:rPr>
          <w:b/>
        </w:rPr>
        <w:t>100/100 完成</w:t>
      </w:r>
      <w:r>
        <w:rPr>
          <w:b w:val="0"/>
        </w:rPr>
        <w:t>，与预注册一致。</w:t>
      </w:r>
    </w:p>
    <w:p>
      <w:r>
        <w:rPr>
          <w:b w:val="0"/>
        </w:rPr>
        <w:t>12）</w:t>
      </w:r>
      <w:r>
        <w:rPr>
          <w:b/>
        </w:rPr>
        <w:t>五类归因的人工校验（2026-10-03 完成；取代「未校准」表述）</w:t>
      </w:r>
      <w:r>
        <w:rPr>
          <w:b w:val="0"/>
        </w:rPr>
        <w:t>：以 50 条人工归因（Arm A 25 条已确认音质抱怨＋Arm B 25 条模型告警）为真值：</w:t>
      </w:r>
      <w:r>
        <w:rPr>
          <w:b/>
        </w:rPr>
        <w:t>模型 vs 人工 宏 F1 = 0.4371</w:t>
      </w:r>
      <w:r>
        <w:rPr>
          <w:b w:val="0"/>
        </w:rPr>
        <w:t>（n=50）；在</w:t>
      </w:r>
      <w:r>
        <w:rPr>
          <w:b/>
        </w:rPr>
        <w:t>有 LLM 类标签的 28 条</w:t>
      </w:r>
      <w:r>
        <w:rPr>
          <w:b w:val="0"/>
        </w:rPr>
        <w:t>上（即 0.8273 的真实评测面）</w:t>
      </w:r>
      <w:r>
        <w:rPr>
          <w:b/>
        </w:rPr>
        <w:t>0.5157</w:t>
      </w:r>
      <w:r>
        <w:rPr>
          <w:b w:val="0"/>
        </w:rPr>
        <w:t>——而</w:t>
      </w:r>
      <w:r>
        <w:rPr>
          <w:b/>
        </w:rPr>
        <w:t>出厂宣称的 0.8273 是「模型 vs LLM 标签」</w:t>
      </w:r>
      <w:r>
        <w:rPr>
          <w:b w:val="0"/>
        </w:rPr>
        <w:t>；同一批条目上</w:t>
      </w:r>
      <w:r>
        <w:rPr>
          <w:b/>
        </w:rPr>
        <w:t>LLM 标签 vs 人工 = 0.6795，反优于模型</w:t>
      </w:r>
      <w:r>
        <w:rPr>
          <w:b w:val="0"/>
        </w:rPr>
        <w:t>（模型相对其老师是退化的）。</w:t>
      </w:r>
      <w:r>
        <w:rPr>
          <w:b/>
        </w:rPr>
        <w:t>逐类</w:t>
      </w:r>
      <w:r>
        <w:rPr>
          <w:b w:val="0"/>
        </w:rPr>
        <w:t>：低音 0.824／杂音 0.560／音量 0.571／</w:t>
      </w:r>
      <w:r>
        <w:rPr>
          <w:b/>
        </w:rPr>
        <w:t>清晰度 0.231（精确率仅 0.158）</w:t>
      </w:r>
      <w:r>
        <w:rPr>
          <w:b w:val="0"/>
        </w:rPr>
        <w:t>／</w:t>
      </w:r>
      <w:r>
        <w:rPr>
          <w:b/>
        </w:rPr>
        <w:t>高音 0.000</w:t>
      </w:r>
      <w:r>
        <w:rPr>
          <w:b w:val="0"/>
        </w:rPr>
        <w:t>。</w:t>
      </w:r>
      <w:r>
        <w:rPr>
          <w:b/>
        </w:rPr>
        <w:t>两点定性发现</w:t>
      </w:r>
      <w:r>
        <w:rPr>
          <w:b w:val="0"/>
        </w:rPr>
        <w:t xml:space="preserve">：① Arm B 25 条中 </w:t>
      </w:r>
      <w:r>
        <w:rPr>
          <w:b/>
        </w:rPr>
        <w:t>9 条为非耳机或与音频无关的产品</w:t>
      </w:r>
      <w:r>
        <w:rPr>
          <w:b w:val="0"/>
        </w:rPr>
        <w:t>（音箱、条形音箱、CD 播放器、手机壳…）——即出厂模型</w:t>
      </w:r>
      <w:r>
        <w:rPr>
          <w:b/>
        </w:rPr>
        <w:t>自己的告警里约 36% 打在了错误品类</w:t>
      </w:r>
      <w:r>
        <w:rPr>
          <w:b w:val="0"/>
        </w:rPr>
        <w:t xml:space="preserve">上；② </w:t>
      </w:r>
      <w:r>
        <w:rPr>
          <w:b/>
        </w:rPr>
        <w:t>降噪类抱怨在五类归因中没有对应类别</w:t>
      </w:r>
      <w:r>
        <w:rPr>
          <w:b w:val="0"/>
        </w:rPr>
        <w:t>（人工反复注明「与五类归因不相交」），构成</w:t>
      </w:r>
      <w:r>
        <w:rPr>
          <w:b/>
        </w:rPr>
        <w:t>类目缺口</w:t>
      </w:r>
      <w:r>
        <w:rPr>
          <w:b w:val="0"/>
        </w:rPr>
        <w:t>：它在二分类上算音质抱怨，却无处归因。</w:t>
      </w:r>
      <w:r>
        <w:rPr>
          <w:b/>
        </w:rPr>
        <w:t>对外表述相应下调</w:t>
      </w:r>
      <w:r>
        <w:rPr>
          <w:b w:val="0"/>
        </w:rPr>
        <w:t>：归因应按「人工口径 0.44–0.52」呈现，并标注类别不均衡与类目缺口。</w:t>
      </w:r>
    </w:p>
    <w:p>
      <w:r>
        <w:rPr>
          <w:b w:val="0"/>
        </w:rPr>
        <w:t>13）</w:t>
      </w:r>
      <w:r>
        <w:rPr>
          <w:b/>
        </w:rPr>
        <w:t>告警精确率与召回（干净池）——含 v1 世代原测与判别器同池补测</w:t>
      </w:r>
      <w:r>
        <w:rPr>
          <w:b w:val="0"/>
        </w:rPr>
        <w:t>：</w:t>
      </w:r>
    </w:p>
    <w:p>
      <w:r>
        <w:rPr>
          <w:b/>
        </w:rPr>
        <w:t>【判别器（出厂）2026-10-05 补测】</w:t>
      </w:r>
      <w:r>
        <w:rPr>
          <w:b w:val="0"/>
        </w:rPr>
        <w:t xml:space="preserve">同池 14,299 条、同闸门口径：触发 16 条 = 0.112%（v1 为 15 条 = 0.105%），期望正例区间 37–316 条 → </w:t>
      </w:r>
      <w:r>
        <w:rPr>
          <w:b/>
        </w:rPr>
        <w:t>期望正例÷告警 = 2.3–19.8（该比值 &gt;1 即触发严重不足；它不是精确率）</w:t>
      </w:r>
      <w:r>
        <w:rPr>
          <w:b w:val="0"/>
        </w:rPr>
        <w:t>；</w:t>
      </w:r>
      <w:r>
        <w:rPr>
          <w:b/>
        </w:rPr>
        <w:t>若这 16 条全为真阳，召回也只有 5%–43%</w:t>
      </w:r>
      <w:r>
        <w:rPr>
          <w:b w:val="0"/>
        </w:rPr>
        <w:t>；</w:t>
      </w:r>
      <w:r>
        <w:rPr>
          <w:b/>
        </w:rPr>
        <w:t>判别器在干净池的告警精确率尚未测</w:t>
      </w:r>
      <w:r>
        <w:rPr>
          <w:b w:val="0"/>
        </w:rPr>
        <w:t>，16 条已逐条留档（docs/gold_set/clean_pool_disc_items.csv）待人工判定。</w:t>
      </w:r>
    </w:p>
    <w:p>
      <w:r>
        <w:rPr>
          <w:b/>
        </w:rPr>
        <w:t>【v1 世代原测，2026-10-03】</w:t>
      </w:r>
      <w:r>
        <w:rPr>
          <w:b w:val="0"/>
        </w:rPr>
        <w:t xml:space="preserve">在干净池（留出侧＋闸门外＋从未训练＋从未判过，14,299 条）中产品共触发 </w:t>
      </w:r>
      <w:r>
        <w:rPr>
          <w:b/>
        </w:rPr>
        <w:t>15 条</w:t>
      </w:r>
      <w:r>
        <w:rPr>
          <w:b w:val="0"/>
        </w:rPr>
        <w:t>，逐条人工判定结果：</w:t>
      </w:r>
      <w:r>
        <w:rPr>
          <w:b/>
        </w:rPr>
        <w:t>是 3／不是 6／无法判断 6</w:t>
      </w:r>
      <w:r>
        <w:rPr>
          <w:b w:val="0"/>
        </w:rPr>
        <w:t xml:space="preserve"> → </w:t>
      </w:r>
      <w:r>
        <w:rPr>
          <w:b/>
        </w:rPr>
        <w:t>告警精确率 20.0%</w:t>
      </w:r>
      <w:r>
        <w:rPr>
          <w:b w:val="0"/>
        </w:rPr>
        <w:t>（Wilson 95% CI 7.0%–45.2%；若排除「无法判断」则为 33.3%，CI 12.1%–64.6%）；随机背景臂 100 条</w:t>
      </w:r>
      <w:r>
        <w:rPr>
          <w:b/>
        </w:rPr>
        <w:t>全部判为不是</w:t>
      </w:r>
      <w:r>
        <w:rPr>
          <w:b w:val="0"/>
        </w:rPr>
        <w:t xml:space="preserve"> → 锚外真阳率 ≤3.7%，与先前 3/294 合并为 </w:t>
      </w:r>
      <w:r>
        <w:rPr>
          <w:b/>
        </w:rPr>
        <w:t>0.76%（CI 0.26%–2.21%）</w:t>
      </w:r>
      <w:r>
        <w:rPr>
          <w:b w:val="0"/>
        </w:rPr>
        <w:t xml:space="preserve">。据此，闸门外召回 ≈ </w:t>
      </w:r>
      <w:r>
        <w:rPr>
          <w:b/>
        </w:rPr>
        <w:t>2.8%</w:t>
      </w:r>
      <w:r>
        <w:rPr>
          <w:b w:val="0"/>
        </w:rPr>
        <w:t>（由基线率 CI 传导：0.9%–8.1%）。</w:t>
      </w:r>
      <w:r>
        <w:rPr>
          <w:b/>
        </w:rPr>
        <w:t>含义（必须与主文定位句同屏）</w:t>
      </w:r>
      <w:r>
        <w:rPr>
          <w:b w:val="0"/>
        </w:rPr>
        <w:t>：产品在</w:t>
      </w:r>
      <w:r>
        <w:rPr>
          <w:b/>
        </w:rPr>
        <w:t>无音频词汇</w:t>
      </w:r>
      <w:r>
        <w:rPr>
          <w:b w:val="0"/>
        </w:rPr>
        <w:t>的评论上，</w:t>
      </w:r>
      <w:r>
        <w:rPr>
          <w:b/>
        </w:rPr>
        <w:t>既漏掉绝大多数真阳、又有约 2/3–4/5 的告警不是真阳</w:t>
      </w:r>
      <w:r>
        <w:rPr>
          <w:b w:val="0"/>
        </w:rPr>
        <w:t>——故其当前正当用法是「在</w:t>
      </w:r>
      <w:r>
        <w:rPr>
          <w:b/>
        </w:rPr>
        <w:t>关键词可达</w:t>
      </w:r>
      <w:r>
        <w:rPr>
          <w:b w:val="0"/>
        </w:rPr>
        <w:t>的评论上做优先级排序」，</w:t>
      </w:r>
      <w:r>
        <w:rPr>
          <w:b/>
        </w:rPr>
        <w:t>不是</w:t>
      </w:r>
      <w:r>
        <w:rPr>
          <w:b w:val="0"/>
        </w:rPr>
        <w:t>通用发现器。15）</w:t>
      </w:r>
      <w:r>
        <w:rPr>
          <w:b/>
        </w:rPr>
        <w:t>新增能力与验证状态（P0/P1；10-05 更新口径）</w:t>
      </w:r>
      <w:r>
        <w:rPr>
          <w:b w:val="0"/>
        </w:rPr>
        <w:t xml:space="preserve">：① </w:t>
      </w:r>
      <w:r>
        <w:rPr>
          <w:b/>
        </w:rPr>
        <w:t>三档输出</w:t>
      </w:r>
      <w:r>
        <w:rPr>
          <w:b w:val="0"/>
        </w:rPr>
        <w:t>：优先处理档（</w:t>
      </w:r>
      <w:r>
        <w:rPr>
          <w:b/>
        </w:rPr>
        <w:t>人工盲判精确率 75–78%、召回 68.3%（46–100%）</w:t>
      </w:r>
      <w:r>
        <w:rPr>
          <w:b w:val="0"/>
        </w:rPr>
        <w:t>，两张独立样本各 50 条）／待复核档／范围外档；</w:t>
      </w:r>
    </w:p>
    <w:p>
      <w:r>
        <w:rPr>
          <w:b w:val="0"/>
        </w:rPr>
        <w:t>范围外档明确标注「</w:t>
      </w:r>
      <w:r>
        <w:rPr>
          <w:b/>
        </w:rPr>
        <w:t>未判定 ≠ 正常</w:t>
      </w:r>
      <w:r>
        <w:rPr>
          <w:b w:val="0"/>
        </w:rPr>
        <w:t>」；</w:t>
      </w:r>
      <w:r>
        <w:rPr>
          <w:b/>
        </w:rPr>
        <w:t>档位名后的实测数字不得省略</w:t>
      </w:r>
      <w:r>
        <w:rPr>
          <w:b w:val="0"/>
        </w:rPr>
        <w:t>。</w:t>
      </w:r>
    </w:p>
    <w:p>
      <w:r>
        <w:rPr>
          <w:b w:val="0"/>
        </w:rPr>
        <w:t xml:space="preserve">② </w:t>
      </w:r>
      <w:r>
        <w:rPr>
          <w:b/>
        </w:rPr>
        <w:t>品类模型（本地、零 API）</w:t>
      </w:r>
      <w:r>
        <w:rPr>
          <w:b w:val="0"/>
        </w:rPr>
        <w:t xml:space="preserve">：11,979 条口径标签训练，留出段 acc </w:t>
      </w:r>
      <w:r>
        <w:rPr>
          <w:b/>
        </w:rPr>
        <w:t>0.6774</w:t>
      </w:r>
      <w:r>
        <w:rPr>
          <w:b w:val="0"/>
        </w:rPr>
        <w:t>、</w:t>
      </w:r>
    </w:p>
    <w:p>
      <w:r>
        <w:rPr>
          <w:b w:val="0"/>
        </w:rPr>
        <w:t xml:space="preserve">耳机家族合并 </w:t>
      </w:r>
      <w:r>
        <w:rPr>
          <w:b/>
        </w:rPr>
        <w:t>精确率 0.8848／召回 0.7802</w:t>
      </w:r>
      <w:r>
        <w:rPr>
          <w:b w:val="0"/>
        </w:rPr>
        <w:t>；品类仅作展示。</w:t>
      </w:r>
      <w:r>
        <w:rPr>
          <w:b/>
        </w:rPr>
        <w:t>品类过滤实测取舍：不划算，故默认关闭</w:t>
      </w:r>
      <w:r>
        <w:rPr>
          <w:b w:val="0"/>
        </w:rPr>
        <w:t>——40 条人工告警上精确率 37.5%→53.8%，</w:t>
      </w:r>
    </w:p>
    <w:p>
      <w:r>
        <w:rPr>
          <w:b w:val="0"/>
        </w:rPr>
        <w:t>但</w:t>
      </w:r>
      <w:r>
        <w:rPr>
          <w:b/>
        </w:rPr>
        <w:t>丢弃人工真阳 8/15＝53%</w:t>
      </w:r>
      <w:r>
        <w:rPr>
          <w:b w:val="0"/>
        </w:rPr>
        <w:t xml:space="preserve">、仅保留 13/40 条目。③ </w:t>
      </w:r>
      <w:r>
        <w:rPr>
          <w:b/>
        </w:rPr>
        <w:t>非音质差评的类型分布（13 类）与不可归因原因（7 类）</w:t>
      </w:r>
      <w:r>
        <w:rPr>
          <w:b w:val="0"/>
        </w:rPr>
        <w:t>：本地模型、零 API，</w:t>
      </w:r>
    </w:p>
    <w:p>
      <w:r>
        <w:rPr>
          <w:b w:val="0"/>
        </w:rPr>
        <w:t>训练自 LLM 标签（20,000 条标注，实测成本 $2.97）；</w:t>
      </w:r>
      <w:r>
        <w:rPr>
          <w:b/>
        </w:rPr>
        <w:t>尚未经人工校准</w:t>
      </w:r>
      <w:r>
        <w:rPr>
          <w:b w:val="0"/>
        </w:rPr>
        <w:t>，验证卡 130 条（每类 10 条）已就绪，校准前不得作为结论引用。</w:t>
      </w:r>
    </w:p>
    <w:p>
      <w:r>
        <w:rPr>
          <w:b w:val="0"/>
        </w:rPr>
        <w:t xml:space="preserve">④ </w:t>
      </w:r>
      <w:r>
        <w:rPr>
          <w:b/>
        </w:rPr>
        <w:t>闸门外监督</w:t>
      </w:r>
      <w:r>
        <w:rPr>
          <w:b w:val="0"/>
        </w:rPr>
        <w:t xml:space="preserve">：本轮首次为「没提音频词」的评论取得监督——20,000 条标注中闸门外 17,216 条里 </w:t>
      </w:r>
      <w:r>
        <w:rPr>
          <w:b/>
        </w:rPr>
        <w:t>90 条</w:t>
      </w:r>
      <w:r>
        <w:rPr>
          <w:b w:val="0"/>
        </w:rPr>
        <w:t>为音质抱怨</w:t>
      </w:r>
    </w:p>
    <w:p>
      <w:r>
        <w:rPr>
          <w:b w:val="0"/>
        </w:rPr>
        <w:t>（此前仅 15 条）；据此重训的音质模型（v5）</w:t>
      </w:r>
      <w:r>
        <w:rPr>
          <w:b/>
        </w:rPr>
        <w:t>评测结果待测</w:t>
      </w:r>
      <w:r>
        <w:rPr>
          <w:b w:val="0"/>
        </w:rPr>
        <w:t xml:space="preserve">，不预设结论。⑤ </w:t>
      </w:r>
      <w:r>
        <w:rPr>
          <w:b/>
        </w:rPr>
        <w:t>主动砍掉的方案（负面结果同样披露）</w:t>
      </w:r>
      <w:r>
        <w:rPr>
          <w:b w:val="0"/>
        </w:rPr>
        <w:t>：曾设计「品类判耳机 ⇒ 绕过音频词汇闸门」的</w:t>
      </w:r>
    </w:p>
    <w:p>
      <w:r>
        <w:rPr>
          <w:b w:val="0"/>
        </w:rPr>
        <w:t>旁路以补召回，</w:t>
      </w:r>
      <w:r>
        <w:rPr>
          <w:b/>
        </w:rPr>
        <w:t>免费预试即否决</w:t>
      </w:r>
      <w:r>
        <w:rPr>
          <w:b w:val="0"/>
        </w:rPr>
        <w:t xml:space="preserve">：放行 313 条仅触发 1 条，而该子集期望正例 1–7 条 → </w:t>
      </w:r>
      <w:r>
        <w:rPr>
          <w:b/>
        </w:rPr>
        <w:t>期望正例数 ÷ 告警数 = 0.81–6.92</w:t>
      </w:r>
      <w:r>
        <w:rPr>
          <w:b w:val="0"/>
        </w:rPr>
        <w:t>（该比值 &gt;1 即表示触发不足；</w:t>
      </w:r>
      <w:r>
        <w:rPr>
          <w:b/>
        </w:rPr>
        <w:t>不是精确率</w:t>
      </w:r>
      <w:r>
        <w:rPr>
          <w:b w:val="0"/>
        </w:rPr>
        <w:t>），</w:t>
      </w:r>
    </w:p>
    <w:p>
      <w:r>
        <w:rPr>
          <w:b/>
        </w:rPr>
        <w:t>不携带成功信息</w:t>
      </w:r>
      <w:r>
        <w:rPr>
          <w:b w:val="0"/>
        </w:rPr>
        <w:t xml:space="preserve">（放大量 ≠ 提能力）；瓶颈在模型而非路由。⑥ </w:t>
      </w:r>
      <w:r>
        <w:rPr>
          <w:b/>
        </w:rPr>
        <w:t>验收测量进行中</w:t>
      </w:r>
      <w:r>
        <w:rPr>
          <w:b w:val="0"/>
        </w:rPr>
        <w:t>：出厂总体（闸门内 ∧ 品类判耳机）分层抽 100 条</w:t>
      </w:r>
    </w:p>
    <w:p>
      <w:r>
        <w:rPr>
          <w:b w:val="0"/>
        </w:rPr>
        <w:t>（触发 50＋未触发 50，仅留出侧）由决策方盲判，用于给出</w:t>
      </w:r>
      <w:r>
        <w:rPr>
          <w:b/>
        </w:rPr>
        <w:t>精确率与召回</w:t>
      </w:r>
      <w:r>
        <w:rPr>
          <w:b w:val="0"/>
        </w:rPr>
        <w:t>的实测值。在该测量完成前，本报告不得使用「覆盖大部分场景」「高精确度」等表述。</w:t>
      </w:r>
    </w:p>
    <w:p>
      <w:r>
        <w:rPr>
          <w:b w:val="0"/>
        </w:rPr>
        <w:t>16）</w:t>
      </w:r>
      <w:r>
        <w:rPr>
          <w:b/>
        </w:rPr>
        <w:t>范围内表现：历史（v1，LLM 口径）与现行（判别器，人工口径）（2026-10-05 改写）</w:t>
      </w:r>
      <w:r>
        <w:rPr>
          <w:b w:val="0"/>
        </w:rPr>
        <w:t>：</w:t>
      </w:r>
    </w:p>
    <w:p>
      <w:r>
        <w:rPr>
          <w:b/>
        </w:rPr>
        <w:t>【历史】2026-10-03 的 v1 阈值扫描</w:t>
      </w:r>
      <w:r>
        <w:rPr>
          <w:b w:val="0"/>
        </w:rPr>
        <w:t>（下文原样保留；</w:t>
      </w:r>
      <w:r>
        <w:rPr>
          <w:b/>
        </w:rPr>
        <w:t>v1 已非出厂模型</w:t>
      </w:r>
      <w:r>
        <w:rPr>
          <w:b w:val="0"/>
        </w:rPr>
        <w:t xml:space="preserve">，且该扫描为开卷口径——val_v3_test 有 </w:t>
      </w:r>
      <w:r>
        <w:rPr>
          <w:b/>
        </w:rPr>
        <w:t>79.66%</w:t>
      </w:r>
      <w:r>
        <w:rPr>
          <w:b w:val="0"/>
        </w:rPr>
        <w:t xml:space="preserve"> 落在 v1 真实训练侧）：</w:t>
      </w:r>
    </w:p>
    <w:p>
      <w:r>
        <w:rPr>
          <w:b w:val="0"/>
        </w:rPr>
        <w:t>在「</w:t>
      </w:r>
      <w:r>
        <w:rPr>
          <w:b/>
        </w:rPr>
        <w:t>关键词明确</w:t>
      </w:r>
      <w:r>
        <w:rPr>
          <w:b w:val="0"/>
        </w:rPr>
        <w:t>」的范围内（val_v3_test ∩ 品类判耳机：n=778、正例 48）做阈值扫描：</w:t>
      </w:r>
    </w:p>
    <w:p>
      <w:r>
        <w:rPr>
          <w:b/>
        </w:rPr>
        <w:t>出厂模型 v1 在阈值 0.95 处取得最佳 F1 0.8077</w:t>
      </w:r>
      <w:r>
        <w:rPr>
          <w:b w:val="0"/>
        </w:rPr>
        <w:t xml:space="preserve">（精确率 </w:t>
      </w:r>
      <w:r>
        <w:rPr>
          <w:b/>
        </w:rPr>
        <w:t>75.0%</w:t>
      </w:r>
      <w:r>
        <w:rPr>
          <w:b w:val="0"/>
        </w:rPr>
        <w:t xml:space="preserve">／召回 </w:t>
      </w:r>
      <w:r>
        <w:rPr>
          <w:b/>
        </w:rPr>
        <w:t>87.5%</w:t>
      </w:r>
      <w:r>
        <w:rPr>
          <w:b w:val="0"/>
        </w:rPr>
        <w:t>）；</w:t>
      </w:r>
    </w:p>
    <w:p>
      <w:r>
        <w:rPr>
          <w:b w:val="0"/>
        </w:rPr>
        <w:t xml:space="preserve">0.5 档为 P 60.8%／R 93.8%／F1 0.7377。该口径为 </w:t>
      </w:r>
      <w:r>
        <w:rPr>
          <w:b/>
        </w:rPr>
        <w:t>LLM 标签</w:t>
      </w:r>
      <w:r>
        <w:rPr>
          <w:b w:val="0"/>
        </w:rPr>
        <w:t>；</w:t>
      </w:r>
    </w:p>
    <w:p>
      <w:r>
        <w:rPr>
          <w:b w:val="0"/>
        </w:rPr>
        <w:t xml:space="preserve">人工告警样本给出的精确率为 </w:t>
      </w:r>
      <w:r>
        <w:rPr>
          <w:b/>
        </w:rPr>
        <w:t>63%（n=19）</w:t>
      </w:r>
      <w:r>
        <w:rPr>
          <w:b w:val="0"/>
        </w:rPr>
        <w:t>，与上表同档位（0.9）的 LLM 口径 66.7% 相互印证。</w:t>
      </w:r>
    </w:p>
    <w:p>
      <w:r>
        <w:rPr>
          <w:b/>
        </w:rPr>
        <w:t>【切换说明】</w:t>
      </w:r>
      <w:r>
        <w:rPr>
          <w:b w:val="0"/>
        </w:rPr>
        <w:t>以上均为 v1 世代读数；以下为</w:t>
      </w:r>
      <w:r>
        <w:rPr>
          <w:b/>
        </w:rPr>
        <w:t>现行出厂（判别器）</w:t>
      </w:r>
      <w:r>
        <w:rPr>
          <w:b w:val="0"/>
        </w:rPr>
        <w:t>口径：</w:t>
      </w:r>
    </w:p>
    <w:p>
      <w:r>
        <w:rPr>
          <w:b/>
        </w:rPr>
        <w:t>【现行·出厂判别器】人工盲判（两张独立样本各 50 条触发档）</w:t>
      </w:r>
      <w:r>
        <w:rPr>
          <w:b w:val="0"/>
        </w:rPr>
        <w:t>：</w:t>
      </w:r>
      <w:r>
        <w:rPr>
          <w:b/>
        </w:rPr>
        <w:t>精确率 75–78%</w:t>
      </w:r>
      <w:r>
        <w:rPr>
          <w:b w:val="0"/>
        </w:rPr>
        <w:t>、</w:t>
      </w:r>
      <w:r>
        <w:rPr>
          <w:b/>
        </w:rPr>
        <w:t>召回 68.3%（95% CI 46–100%）</w:t>
      </w:r>
      <w:r>
        <w:rPr>
          <w:b w:val="0"/>
        </w:rPr>
        <w:t>；同条目捕获 39/41（v1 34/41、v2 26/41）；</w:t>
      </w:r>
      <w:r>
        <w:rPr>
          <w:b/>
        </w:rPr>
        <w:t>召回是点估计且区间宽，引用必须带区间</w:t>
      </w:r>
      <w:r>
        <w:rPr>
          <w:b w:val="0"/>
        </w:rPr>
        <w:t>；</w:t>
      </w:r>
      <w:r>
        <w:rPr>
          <w:b/>
        </w:rPr>
        <w:t>漏报为结构性——阈值降到 0.2 召回不变（漏判条目得分 &lt;0.2）</w:t>
      </w:r>
      <w:r>
        <w:rPr>
          <w:b w:val="0"/>
        </w:rPr>
        <w:t>。</w:t>
      </w:r>
    </w:p>
    <w:p>
      <w:r>
        <w:rPr>
          <w:b/>
        </w:rPr>
        <w:t>故正当承诺修正为</w:t>
      </w:r>
      <w:r>
        <w:rPr>
          <w:b w:val="0"/>
        </w:rPr>
        <w:t>：对</w:t>
      </w:r>
      <w:r>
        <w:rPr>
          <w:b/>
        </w:rPr>
        <w:t>明确提到声音</w:t>
      </w:r>
      <w:r>
        <w:rPr>
          <w:b w:val="0"/>
        </w:rPr>
        <w:t>的评论，在优先处理档上做到「</w:t>
      </w:r>
      <w:r>
        <w:rPr>
          <w:b/>
        </w:rPr>
        <w:t>精确率约 3/4、覆盖约 2/3</w:t>
      </w:r>
      <w:r>
        <w:rPr>
          <w:b w:val="0"/>
        </w:rPr>
        <w:t>」；</w:t>
      </w:r>
      <w:r>
        <w:rPr>
          <w:b/>
        </w:rPr>
        <w:t>此前写的「召回近九成」是 v1 的 LLM 口径数字，作为承诺已于 2026-10-05 撤下</w:t>
      </w:r>
      <w:r>
        <w:rPr>
          <w:b w:val="0"/>
        </w:rPr>
        <w:t>。人工口径均建立在一人判读之上（人对人一致率 82–84%、</w:t>
      </w:r>
      <w:r>
        <w:rPr>
          <w:b/>
        </w:rPr>
        <w:t>κ 0.33</w:t>
      </w:r>
      <w:r>
        <w:rPr>
          <w:b w:val="0"/>
        </w:rPr>
        <w:t>），引用请同屏标注 κ。</w:t>
      </w:r>
    </w:p>
    <w:p>
      <w:r>
        <w:rPr>
          <w:b/>
        </w:rPr>
        <w:t>不是</w:t>
      </w:r>
      <w:r>
        <w:rPr>
          <w:b w:val="0"/>
        </w:rPr>
        <w:t>「在整份评论里找出所有音质差评」（后者见第 10–11、13 条）。</w:t>
      </w:r>
      <w:r>
        <w:rPr>
          <w:b/>
        </w:rPr>
        <w:t>负结果同时披露</w:t>
      </w:r>
      <w:r>
        <w:rPr>
          <w:b w:val="0"/>
        </w:rPr>
        <w:t>：为提升闸门外召回复训的 v5（含 90 条闸门外正例、训练正例 972 条）</w:t>
      </w:r>
    </w:p>
    <w:p>
      <w:r>
        <w:rPr>
          <w:b w:val="0"/>
        </w:rPr>
        <w:t xml:space="preserve">在干净池上触发由 15 升至 </w:t>
      </w:r>
      <w:r>
        <w:rPr>
          <w:b/>
        </w:rPr>
        <w:t>22</w:t>
      </w:r>
      <w:r>
        <w:rPr>
          <w:b w:val="0"/>
        </w:rPr>
        <w:t xml:space="preserve"> 条（+47%），但在范围内 0.5 档 F1 由 </w:t>
      </w:r>
      <w:r>
        <w:rPr>
          <w:b/>
        </w:rPr>
        <w:t>0.7377 降至 0.6018</w:t>
      </w:r>
      <w:r>
        <w:rPr>
          <w:b w:val="0"/>
        </w:rPr>
        <w:t>、</w:t>
      </w:r>
    </w:p>
    <w:p>
      <w:r>
        <w:rPr>
          <w:b w:val="0"/>
        </w:rPr>
        <w:t xml:space="preserve">0.9 档仅 P 84.2%／R 33.3% —— </w:t>
      </w:r>
      <w:r>
        <w:rPr>
          <w:b/>
        </w:rPr>
        <w:t>不采用 v5</w:t>
      </w:r>
      <w:r>
        <w:rPr>
          <w:b w:val="0"/>
        </w:rPr>
        <w:t>：闸门外监督虽让模型更敢开火，但</w:t>
      </w:r>
      <w:r>
        <w:rPr>
          <w:b/>
        </w:rPr>
        <w:t>牺牲了它原本擅长的范围内表现</w:t>
      </w:r>
      <w:r>
        <w:rPr>
          <w:b w:val="0"/>
        </w:rPr>
        <w:t>，</w:t>
      </w:r>
    </w:p>
    <w:p>
      <w:r>
        <w:t>而范围内的精确与召回恰是本产品对用户的核心承诺。该结论已登记为登记表 X-22。</w:t>
      </w:r>
    </w:p>
    <w:p>
      <w:r>
        <w:rPr>
          <w:b/>
        </w:rPr>
        <w:t>【历史·v1 世代，人工口径】以下为 v1 出厂期的 P0 验收集</w:t>
      </w:r>
      <w:r>
        <w:rPr>
          <w:b w:val="0"/>
        </w:rPr>
        <w:t>（非当前出厂；与紧随的现行判别器段不可混读）：</w:t>
      </w:r>
    </w:p>
    <w:p>
      <w:r>
        <w:rPr>
          <w:b/>
        </w:rPr>
        <w:t>人工盲判验收（2026-10-05，留出侧分层 100 条：触发 50＋未触发 50）</w:t>
      </w:r>
      <w:r>
        <w:rPr>
          <w:b w:val="0"/>
        </w:rPr>
        <w:t>：</w:t>
      </w:r>
    </w:p>
    <w:p>
      <w:r>
        <w:rPr>
          <w:b w:val="0"/>
        </w:rPr>
        <w:t xml:space="preserve">精确率 ≥0.5 档 </w:t>
      </w:r>
      <w:r>
        <w:rPr>
          <w:b/>
        </w:rPr>
        <w:t>42.0%</w:t>
      </w:r>
      <w:r>
        <w:rPr>
          <w:b w:val="0"/>
        </w:rPr>
        <w:t xml:space="preserve">（n=50，CI 29–56%）、≥0.95 档 </w:t>
      </w:r>
      <w:r>
        <w:rPr>
          <w:b/>
        </w:rPr>
        <w:t>52.6%</w:t>
      </w:r>
      <w:r>
        <w:rPr>
          <w:b w:val="0"/>
        </w:rPr>
        <w:t>（n=38）；</w:t>
      </w:r>
    </w:p>
    <w:p>
      <w:r>
        <w:rPr>
          <w:b/>
        </w:rPr>
        <w:t>召回点估计 100%、下界 62.7%</w:t>
      </w:r>
      <w:r>
        <w:rPr>
          <w:b w:val="0"/>
        </w:rPr>
        <w:t>（未触发 50 条零真阳；三倍法则漏判上界 ≤6%）。</w:t>
      </w:r>
    </w:p>
    <w:p>
      <w:r>
        <w:rPr>
          <w:b/>
        </w:rPr>
        <w:t>两条口径必须并列、不得混用</w:t>
      </w:r>
      <w:r>
        <w:rPr>
          <w:b w:val="0"/>
        </w:rPr>
        <w:t>：LLM 标签口径 P 75%／R 87.5%，人工口径 P 42–53%／R ≈100%——差异来自判据严格度（人工只认「耳机音质抱怨」）。</w:t>
      </w:r>
    </w:p>
    <w:p>
      <w:r>
        <w:rPr>
          <w:b/>
        </w:rPr>
        <w:t>误报的构成（决策方备注归类）</w:t>
      </w:r>
      <w:r>
        <w:rPr>
          <w:b w:val="0"/>
        </w:rPr>
        <w:t>：约 6–7 条为「功能故障提及声音」（连接/配对/线材/单侧无声），</w:t>
      </w:r>
    </w:p>
    <w:p>
      <w:r>
        <w:t>约 6–7 条为「对声音的褒奖被误读」，2 条为降噪/风噪（类目缺口），1 条为非耳机产品（音频太阳镜），</w:t>
      </w:r>
    </w:p>
    <w:p>
      <w:r>
        <w:rPr>
          <w:b w:val="0"/>
        </w:rPr>
        <w:t>1 条为表述模糊。</w:t>
      </w:r>
      <w:r>
        <w:rPr>
          <w:b/>
        </w:rPr>
        <w:t>结论：本模型是「不漏报」的高召回分诊器，误报约一半</w:t>
      </w:r>
      <w:r>
        <w:rPr>
          <w:b w:val="0"/>
        </w:rPr>
        <w:t>；</w:t>
      </w:r>
    </w:p>
    <w:p>
      <w:r>
        <w:rPr>
          <w:b w:val="0"/>
        </w:rPr>
        <w:t>下一步的改进方向明确——用本轮 P1 标注中的 functional_not_sound（1,854 条）与 weak_praise（3,847 条）作负例，专门训练「提到声音 ≠ 抱怨声音」的判别器（属新世代）。</w:t>
      </w:r>
    </w:p>
    <w:p>
      <w:r>
        <w:t>1）dummy 基线标签：原表述全判正常 F1 = 0.025 有误——0.0248 是平凡上界（阈值扫至 ≤0 时等价于全判正）；全判正常时 F1@0.5 = 0.0000。仅标签更正，数值未变。</w:t>
      </w:r>
    </w:p>
    <w:p>
      <w:r>
        <w:rPr>
          <w:b w:val="0"/>
        </w:rPr>
        <w:t>2）非英文评论行为（</w:t>
      </w:r>
      <w:r>
        <w:rPr>
          <w:b/>
        </w:rPr>
        <w:t>两次更正，第二次为 2026-10-01</w:t>
      </w:r>
      <w:r>
        <w:rPr>
          <w:b w:val="0"/>
        </w:rPr>
        <w:t>）：v1 文档第 9.1 节写「会被静默判为正常」属过时陈述，代码行为是显式拒绝并计数（与该文档 4.2 节一致）。</w:t>
      </w:r>
      <w:r>
        <w:rPr>
          <w:b/>
        </w:rPr>
        <w:t>但「非英文」一词本身也不准确</w:t>
      </w:r>
      <w:r>
        <w:rPr>
          <w:b w:val="0"/>
        </w:rPr>
        <w:t>：实现过滤的是</w:t>
      </w:r>
      <w:r>
        <w:rPr>
          <w:b/>
        </w:rPr>
        <w:t>非拉丁字母文本</w:t>
      </w:r>
      <w:r>
        <w:rPr>
          <w:b w:val="0"/>
        </w:rPr>
        <w:t>，拉丁字母的其他语言（德/法/西等）不被拒绝——该边界已写入附录 B 第 6 条与 text_utils.py 注释。不影响任何已报指标（评测语料为英文）。代码行为是显式拒绝并计数（与该文档 4.2 节一致）。不影响任何指标。</w:t>
      </w:r>
    </w:p>
    <w:p>
      <w:r>
        <w:t>3）阈值选择偏差（v1 从未披露，本轮首次披露）：v1 的阈值在同一验证集上选取并报数，故 F1@调优 0.6871[v1] 与 CV 0.6234[v1]±0.0240 含乐观偏置；v2 起阈值只在 val_v3_tune 上选、指标只在 val_v3_test 上报。</w:t>
      </w:r>
    </w:p>
    <w:p>
      <w:r>
        <w:t>4）评测划分不可复现（本轮新发现）：val_v2 由早期标签文件生成，该文件其后被重建、行序改变，用当前文件复算同一划分与 val_v2 重叠 79.5%（正例 78.9%）——在它上面评估用当前标签训练的模型会因记忆虚高（实测 0.9126，该数字作废）；修正后同模型为 0.7206。对 v1 数字无影响：0.6871[v1]／0.6241[v1] 在其当时一致的划分上仍然有效，只是无法由当前文件复现。</w:t>
      </w:r>
    </w:p>
    <w:p>
      <w:r>
        <w:t>5）正例口径演进：1,257[v1]（冻结）→ 1,288（高音补捞）→ 1,280（中置信剔除，当前）。三个值是同一链条的不同阶段，引用须写明阶段。</w:t>
      </w:r>
    </w:p>
    <w:p/>
    <w:p>
      <w:r>
        <w:rPr>
          <w:b/>
          <w:sz w:val="26"/>
        </w:rPr>
        <w:t>附录 D　置信度档位与建议动作（对外结论统一口径）</w:t>
      </w:r>
    </w:p>
    <w:tbl>
      <w:tblPr>
        <w:tblStyle w:val="33"/>
        <w:tblW w:type="auto" w:w="0"/>
        <w:tblLook w:firstColumn="1" w:firstRow="1" w:lastColumn="0" w:lastRow="0" w:noHBand="0" w:noVBand="1" w:val="04A0"/>
      </w:tblPr>
      <w:tblGrid>
        <w:gridCol w:w="2160"/>
        <w:gridCol w:w="2160"/>
        <w:gridCol w:w="2160"/>
        <w:gridCol w:w="2160"/>
      </w:tblGrid>
      <w:tr>
        <w:tc>
          <w:tcPr>
            <w:tcW w:type="dxa" w:w="2160"/>
          </w:tcPr>
          <w:p>
            <w:r/>
            <w:r>
              <w:rPr>
                <w:b/>
                <w:sz w:val="18"/>
              </w:rPr>
              <w:t>档位</w:t>
            </w:r>
          </w:p>
        </w:tc>
        <w:tc>
          <w:tcPr>
            <w:tcW w:type="dxa" w:w="2160"/>
          </w:tcPr>
          <w:p>
            <w:r/>
            <w:r>
              <w:rPr>
                <w:b/>
                <w:sz w:val="18"/>
              </w:rPr>
              <w:t>概率区间</w:t>
            </w:r>
          </w:p>
        </w:tc>
        <w:tc>
          <w:tcPr>
            <w:tcW w:type="dxa" w:w="2160"/>
          </w:tcPr>
          <w:p>
            <w:r/>
            <w:r>
              <w:rPr>
                <w:b/>
                <w:sz w:val="18"/>
              </w:rPr>
              <w:t>含义</w:t>
            </w:r>
          </w:p>
        </w:tc>
        <w:tc>
          <w:tcPr>
            <w:tcW w:type="dxa" w:w="2160"/>
          </w:tcPr>
          <w:p>
            <w:r/>
            <w:r>
              <w:rPr>
                <w:b/>
                <w:sz w:val="18"/>
              </w:rPr>
              <w:t>建议动作</w:t>
            </w:r>
          </w:p>
        </w:tc>
      </w:tr>
      <w:tr>
        <w:tc>
          <w:tcPr>
            <w:tcW w:type="dxa" w:w="2160"/>
          </w:tcPr>
          <w:p>
            <w:r/>
            <w:r>
              <w:rPr>
                <w:sz w:val="18"/>
              </w:rPr>
              <w:t>高</w:t>
            </w:r>
          </w:p>
        </w:tc>
        <w:tc>
          <w:tcPr>
            <w:tcW w:type="dxa" w:w="2160"/>
          </w:tcPr>
          <w:p>
            <w:r/>
            <w:r>
              <w:rPr>
                <w:sz w:val="18"/>
              </w:rPr>
              <w:t>≥ 0.9744[v1]（调优档；校准前仅供排序）</w:t>
            </w:r>
          </w:p>
        </w:tc>
        <w:tc>
          <w:tcPr>
            <w:tcW w:type="dxa" w:w="2160"/>
          </w:tcPr>
          <w:p>
            <w:r/>
            <w:r>
              <w:rPr>
                <w:sz w:val="18"/>
              </w:rPr>
              <w:t>高置信音质差评</w:t>
            </w:r>
          </w:p>
        </w:tc>
        <w:tc>
          <w:tcPr>
            <w:tcW w:type="dxa" w:w="2160"/>
          </w:tcPr>
          <w:p>
            <w:r/>
            <w:r>
              <w:rPr>
                <w:sz w:val="18"/>
              </w:rPr>
              <w:t>直接进入整改／研发评审</w:t>
            </w:r>
          </w:p>
        </w:tc>
      </w:tr>
      <w:tr>
        <w:tc>
          <w:tcPr>
            <w:tcW w:type="dxa" w:w="2160"/>
          </w:tcPr>
          <w:p>
            <w:r/>
            <w:r>
              <w:rPr>
                <w:sz w:val="18"/>
              </w:rPr>
              <w:t>中</w:t>
            </w:r>
          </w:p>
        </w:tc>
        <w:tc>
          <w:tcPr>
            <w:tcW w:type="dxa" w:w="2160"/>
          </w:tcPr>
          <w:p>
            <w:r/>
            <w:r>
              <w:rPr>
                <w:sz w:val="18"/>
              </w:rPr>
              <w:t>0.5 – 0.9744[v1]</w:t>
            </w:r>
          </w:p>
        </w:tc>
        <w:tc>
          <w:tcPr>
            <w:tcW w:type="dxa" w:w="2160"/>
          </w:tcPr>
          <w:p>
            <w:r/>
            <w:r>
              <w:rPr>
                <w:sz w:val="18"/>
              </w:rPr>
              <w:t>疑似负面，证据不足</w:t>
            </w:r>
          </w:p>
        </w:tc>
        <w:tc>
          <w:tcPr>
            <w:tcW w:type="dxa" w:w="2160"/>
          </w:tcPr>
          <w:p>
            <w:r/>
            <w:r>
              <w:rPr>
                <w:sz w:val="18"/>
              </w:rPr>
              <w:t>先做小规模人工抽查</w:t>
            </w:r>
          </w:p>
        </w:tc>
      </w:tr>
      <w:tr>
        <w:tc>
          <w:tcPr>
            <w:tcW w:type="dxa" w:w="2160"/>
          </w:tcPr>
          <w:p>
            <w:r/>
            <w:r>
              <w:rPr>
                <w:sz w:val="18"/>
              </w:rPr>
              <w:t>低</w:t>
            </w:r>
          </w:p>
        </w:tc>
        <w:tc>
          <w:tcPr>
            <w:tcW w:type="dxa" w:w="2160"/>
          </w:tcPr>
          <w:p>
            <w:r/>
            <w:r>
              <w:rPr>
                <w:sz w:val="18"/>
              </w:rPr>
              <w:t>&lt; 0.5</w:t>
            </w:r>
          </w:p>
        </w:tc>
        <w:tc>
          <w:tcPr>
            <w:tcW w:type="dxa" w:w="2160"/>
          </w:tcPr>
          <w:p>
            <w:r/>
            <w:r>
              <w:rPr>
                <w:sz w:val="18"/>
              </w:rPr>
              <w:t>判为正常</w:t>
            </w:r>
          </w:p>
        </w:tc>
        <w:tc>
          <w:tcPr>
            <w:tcW w:type="dxa" w:w="2160"/>
          </w:tcPr>
          <w:p>
            <w:r/>
            <w:r>
              <w:rPr>
                <w:sz w:val="18"/>
              </w:rPr>
              <w:t>仅计入趋势观察，不进入问题分布</w:t>
            </w:r>
          </w:p>
        </w:tc>
      </w:tr>
    </w:tbl>
    <w:p>
      <w:r>
        <w:t>说明：v1 校准评估显示决策区间 [0.9,1.0) 的实际正确率仅 0.555（自报 0.975），故未校准前档位只用于排序；v2 已完成温度缩放校准（决策区间偏差 −0.060）。</w:t>
      </w:r>
    </w:p>
    <w:p/>
    <w:p>
      <w:r>
        <w:rPr>
          <w:b/>
          <w:sz w:val="26"/>
        </w:rPr>
        <w:t>附录 E　失败案例（带发生率，节选）</w:t>
      </w:r>
    </w:p>
    <w:p>
      <w:r>
        <w:t>完整 13 条见附件其他材料（w17_failure_cases.md）。要点：</w:t>
      </w:r>
    </w:p>
    <w:p>
      <w:r>
        <w:t>· 长文本漏报：&gt;128 token 桶 65/211 = 30.8%（对照 ≤64 桶 21.4%、65–128 桶 19.2%）；</w:t>
      </w:r>
    </w:p>
    <w:p>
      <w:r>
        <w:t>· 跨品类误报：73/11,815 = 0.62%，含三条高置信误报（卫星接收机 0.9889、键盘清洁泥 0.9887、蓝牙适配器 0.9896）——高置信也会错，故产品侧保留人工复核接口；</w:t>
      </w:r>
    </w:p>
    <w:p>
      <w:r>
        <w:t>· 5★ 误报 20/13,098 = 0.15%；2★ 误报率最高 1.54%；未验证购买误报 0.58% 对比已验证 0.43%（1.35×）。</w:t>
      </w:r>
    </w:p>
    <w:p/>
    <w:p>
      <w:r>
        <w:rPr>
          <w:b/>
          <w:sz w:val="26"/>
        </w:rPr>
        <w:t>附录 F　迁移成本说明（跨品类）</w:t>
      </w:r>
    </w:p>
    <w:p>
      <w:r>
        <w:t>换品类需：① 重标约 1,300 条正例（与当前 1,280 条同量级）；② 重选阈值（tune/test 分离流程不变）；③ 替换关键词词表（品类相关词），模型基座与训练流程不变。该估算基于学习曲线（100→1,257 正例、F1@0.5 由 0.41 升至 0.6179 仍未见顶），未经真实跨品类实验验证。</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7FF026"/>
    <w:rsid w:val="777B92D7"/>
    <w:rsid w:val="7FEBEE13"/>
    <w:rsid w:val="F3F6E28E"/>
    <w:rsid w:val="FDD30E44"/>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8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73"/>
    <w:unhideWhenUsed/>
    <w:qFormat/>
    <w:uiPriority w:val="9"/>
    <w:pPr>
      <w:keepNext/>
      <w:keepLines/>
      <w:spacing w:before="200" w:after="0"/>
      <w:outlineLvl w:val="1"/>
    </w:pPr>
    <w:rPr>
      <w:rFonts w:asciiTheme="majorHAnsi" w:hAnsiTheme="majorHAnsi" w:eastAsiaTheme="majorEastAsia" w:cstheme="majorBidi"/>
      <w:b/>
      <w:bCs/>
      <w:color w:val="4F81BD" w:themeColor="accent1"/>
      <w:sz w:val="30"/>
      <w:szCs w:val="26"/>
      <w14:textFill>
        <w14:solidFill>
          <w14:schemeClr w14:val="accent1"/>
        </w14:solidFill>
      </w14:textFill>
    </w:rPr>
  </w:style>
  <w:style w:type="paragraph" w:styleId="5">
    <w:name w:val="heading 3"/>
    <w:basedOn w:val="1"/>
    <w:next w:val="1"/>
    <w:link w:val="164"/>
    <w:unhideWhenUsed/>
    <w:qFormat/>
    <w:uiPriority w:val="9"/>
    <w:pPr>
      <w:keepNext/>
      <w:keepLines/>
      <w:spacing w:before="200" w:after="0"/>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6">
    <w:name w:val="heading 4"/>
    <w:basedOn w:val="1"/>
    <w:next w:val="1"/>
    <w:link w:val="17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8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4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7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84"/>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65"/>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contextualSpacing/>
    </w:pPr>
  </w:style>
  <w:style w:type="paragraph" w:styleId="14">
    <w:name w:val="List Number"/>
    <w:basedOn w:val="1"/>
    <w:unhideWhenUsed/>
    <w:uiPriority w:val="99"/>
    <w:p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contextualSpacing/>
    </w:pPr>
  </w:style>
  <w:style w:type="paragraph" w:styleId="17">
    <w:name w:val="Body Text 3"/>
    <w:basedOn w:val="1"/>
    <w:link w:val="159"/>
    <w:unhideWhenUsed/>
    <w:uiPriority w:val="99"/>
    <w:pPr>
      <w:spacing w:after="120"/>
    </w:pPr>
    <w:rPr>
      <w:sz w:val="16"/>
      <w:szCs w:val="16"/>
    </w:rPr>
  </w:style>
  <w:style w:type="paragraph" w:styleId="18">
    <w:name w:val="List Bullet 3"/>
    <w:basedOn w:val="1"/>
    <w:unhideWhenUsed/>
    <w:uiPriority w:val="99"/>
    <w:pPr>
      <w:contextualSpacing/>
    </w:pPr>
  </w:style>
  <w:style w:type="paragraph" w:styleId="19">
    <w:name w:val="Body Text"/>
    <w:basedOn w:val="1"/>
    <w:link w:val="163"/>
    <w:unhideWhenUsed/>
    <w:uiPriority w:val="99"/>
    <w:pPr>
      <w:spacing w:after="120"/>
    </w:pPr>
  </w:style>
  <w:style w:type="paragraph" w:styleId="20">
    <w:name w:val="List Number 3"/>
    <w:basedOn w:val="1"/>
    <w:unhideWhenUsed/>
    <w:uiPriority w:val="99"/>
    <w:p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contextualSpacing/>
    </w:pPr>
  </w:style>
  <w:style w:type="paragraph" w:styleId="24">
    <w:name w:val="footer"/>
    <w:basedOn w:val="1"/>
    <w:link w:val="168"/>
    <w:unhideWhenUsed/>
    <w:uiPriority w:val="99"/>
    <w:pPr>
      <w:tabs>
        <w:tab w:val="center" w:pos="4680"/>
        <w:tab w:val="right" w:pos="9360"/>
      </w:tabs>
      <w:spacing w:after="0" w:line="240" w:lineRule="auto"/>
    </w:pPr>
  </w:style>
  <w:style w:type="paragraph" w:styleId="25">
    <w:name w:val="header"/>
    <w:basedOn w:val="1"/>
    <w:link w:val="160"/>
    <w:unhideWhenUsed/>
    <w:uiPriority w:val="99"/>
    <w:pPr>
      <w:tabs>
        <w:tab w:val="center" w:pos="4680"/>
        <w:tab w:val="right" w:pos="9360"/>
      </w:tabs>
      <w:spacing w:after="0" w:line="240" w:lineRule="auto"/>
    </w:pPr>
  </w:style>
  <w:style w:type="paragraph" w:styleId="26">
    <w:name w:val="Subtitle"/>
    <w:basedOn w:val="1"/>
    <w:next w:val="1"/>
    <w:link w:val="15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38"/>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9"/>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paragraph" w:customStyle="1" w:styleId="135">
    <w:name w:val="TOC Heading"/>
    <w:basedOn w:val="3"/>
    <w:next w:val="1"/>
    <w:semiHidden/>
    <w:unhideWhenUsed/>
    <w:qFormat/>
    <w:uiPriority w:val="39"/>
    <w:pPr>
      <w:outlineLvl w:val="9"/>
    </w:pPr>
  </w:style>
  <w:style w:type="character" w:customStyle="1" w:styleId="136">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37">
    <w:name w:val="Body Text 2 Char"/>
    <w:basedOn w:val="132"/>
    <w:link w:val="28"/>
    <w:uiPriority w:val="99"/>
  </w:style>
  <w:style w:type="character" w:customStyle="1" w:styleId="138">
    <w:name w:val="Body Text 2 Char1"/>
    <w:basedOn w:val="132"/>
    <w:link w:val="28"/>
    <w:uiPriority w:val="99"/>
  </w:style>
  <w:style w:type="paragraph" w:styleId="139">
    <w:name w:val="List Paragraph"/>
    <w:basedOn w:val="1"/>
    <w:qFormat/>
    <w:uiPriority w:val="34"/>
    <w:pPr>
      <w:ind w:left="720"/>
      <w:contextualSpacing/>
    </w:pPr>
  </w:style>
  <w:style w:type="character" w:customStyle="1" w:styleId="14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41">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42">
    <w:name w:val="Body Text 3 Char"/>
    <w:basedOn w:val="132"/>
    <w:link w:val="17"/>
    <w:uiPriority w:val="99"/>
    <w:rPr>
      <w:sz w:val="16"/>
      <w:szCs w:val="16"/>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4">
    <w:name w:val="Subtle Reference"/>
    <w:basedOn w:val="132"/>
    <w:qFormat/>
    <w:uiPriority w:val="31"/>
    <w:rPr>
      <w:smallCaps/>
      <w:color w:val="C0504D" w:themeColor="accent2"/>
      <w:u w:val="single"/>
      <w14:textFill>
        <w14:solidFill>
          <w14:schemeClr w14:val="accent2"/>
        </w14:solidFill>
      </w14:textFill>
    </w:rPr>
  </w:style>
  <w:style w:type="character" w:customStyle="1" w:styleId="145">
    <w:name w:val="Body Text Char"/>
    <w:basedOn w:val="132"/>
    <w:link w:val="19"/>
    <w:uiPriority w:val="99"/>
  </w:style>
  <w:style w:type="character" w:customStyle="1" w:styleId="146">
    <w:name w:val="Heading 7 Char1"/>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47">
    <w:name w:val="Intense Quote Char"/>
    <w:basedOn w:val="132"/>
    <w:uiPriority w:val="30"/>
    <w:rPr>
      <w:b/>
      <w:bCs/>
      <w:i/>
      <w:iCs/>
      <w:color w:val="4F81BD" w:themeColor="accent1"/>
      <w14:textFill>
        <w14:solidFill>
          <w14:schemeClr w14:val="accent1"/>
        </w14:solidFill>
      </w14:textFill>
    </w:rPr>
  </w:style>
  <w:style w:type="paragraph" w:styleId="148">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49">
    <w:name w:val="Title Char1"/>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0">
    <w:name w:val="Macro Text Char"/>
    <w:basedOn w:val="132"/>
    <w:link w:val="2"/>
    <w:uiPriority w:val="99"/>
    <w:rPr>
      <w:rFonts w:ascii="Courier" w:hAnsi="Courier"/>
      <w:sz w:val="20"/>
      <w:szCs w:val="20"/>
    </w:rPr>
  </w:style>
  <w:style w:type="character" w:customStyle="1" w:styleId="151">
    <w:name w:val="Intense Reference"/>
    <w:basedOn w:val="132"/>
    <w:qFormat/>
    <w:uiPriority w:val="32"/>
    <w:rPr>
      <w:b/>
      <w:bCs/>
      <w:smallCaps/>
      <w:color w:val="C0504D" w:themeColor="accent2"/>
      <w:spacing w:val="5"/>
      <w:u w:val="single"/>
      <w14:textFill>
        <w14:solidFill>
          <w14:schemeClr w14:val="accent2"/>
        </w14:solidFill>
      </w14:textFill>
    </w:rPr>
  </w:style>
  <w:style w:type="paragraph" w:styleId="152">
    <w:name w:val="Quote"/>
    <w:basedOn w:val="1"/>
    <w:next w:val="1"/>
    <w:link w:val="178"/>
    <w:qFormat/>
    <w:uiPriority w:val="29"/>
    <w:rPr>
      <w:i/>
      <w:iCs/>
      <w:color w:val="000000" w:themeColor="text1"/>
      <w14:textFill>
        <w14:solidFill>
          <w14:schemeClr w14:val="tx1"/>
        </w14:solidFill>
      </w14:textFill>
    </w:rPr>
  </w:style>
  <w:style w:type="character" w:customStyle="1" w:styleId="153">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54">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5">
    <w:name w:val="Quote Char"/>
    <w:basedOn w:val="132"/>
    <w:link w:val="152"/>
    <w:uiPriority w:val="29"/>
    <w:rPr>
      <w:i/>
      <w:iCs/>
      <w:color w:val="000000" w:themeColor="text1"/>
      <w14:textFill>
        <w14:solidFill>
          <w14:schemeClr w14:val="tx1"/>
        </w14:solidFill>
      </w14:textFill>
    </w:rPr>
  </w:style>
  <w:style w:type="character" w:customStyle="1" w:styleId="156">
    <w:name w:val="Subtitle Char1"/>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57">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8">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59">
    <w:name w:val="Body Text 3 Char1"/>
    <w:basedOn w:val="132"/>
    <w:link w:val="17"/>
    <w:uiPriority w:val="99"/>
    <w:rPr>
      <w:sz w:val="16"/>
      <w:szCs w:val="16"/>
    </w:rPr>
  </w:style>
  <w:style w:type="character" w:customStyle="1" w:styleId="160">
    <w:name w:val="Header Char"/>
    <w:basedOn w:val="132"/>
    <w:link w:val="25"/>
    <w:uiPriority w:val="99"/>
  </w:style>
  <w:style w:type="paragraph" w:styleId="16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62">
    <w:name w:val="Intense Quote Char1"/>
    <w:basedOn w:val="132"/>
    <w:link w:val="148"/>
    <w:uiPriority w:val="30"/>
    <w:rPr>
      <w:b/>
      <w:bCs/>
      <w:i/>
      <w:iCs/>
      <w:color w:val="4F81BD" w:themeColor="accent1"/>
      <w14:textFill>
        <w14:solidFill>
          <w14:schemeClr w14:val="accent1"/>
        </w14:solidFill>
      </w14:textFill>
    </w:rPr>
  </w:style>
  <w:style w:type="character" w:customStyle="1" w:styleId="163">
    <w:name w:val="Body Text Char1"/>
    <w:basedOn w:val="132"/>
    <w:link w:val="19"/>
    <w:uiPriority w:val="99"/>
  </w:style>
  <w:style w:type="character" w:customStyle="1" w:styleId="164">
    <w:name w:val="Heading 3 Char1"/>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65">
    <w:name w:val="Macro Text Char1"/>
    <w:basedOn w:val="132"/>
    <w:link w:val="2"/>
    <w:uiPriority w:val="99"/>
    <w:rPr>
      <w:rFonts w:ascii="Courier" w:hAnsi="Courier"/>
      <w:sz w:val="20"/>
      <w:szCs w:val="20"/>
    </w:rPr>
  </w:style>
  <w:style w:type="character" w:customStyle="1" w:styleId="166">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7">
    <w:name w:val="Heading 6 Char1"/>
    <w:basedOn w:val="132"/>
    <w:link w:val="8"/>
    <w:semiHidden/>
    <w:uiPriority w:val="9"/>
    <w:rPr>
      <w:rFonts w:asciiTheme="majorHAnsi" w:hAnsiTheme="majorHAnsi" w:eastAsiaTheme="majorEastAsia" w:cstheme="majorBidi"/>
      <w:i/>
      <w:iCs/>
      <w:color w:val="254061" w:themeColor="accent1" w:themeShade="80"/>
    </w:rPr>
  </w:style>
  <w:style w:type="character" w:customStyle="1" w:styleId="168">
    <w:name w:val="Footer Char"/>
    <w:basedOn w:val="132"/>
    <w:link w:val="24"/>
    <w:uiPriority w:val="99"/>
  </w:style>
  <w:style w:type="character" w:customStyle="1" w:styleId="16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70">
    <w:name w:val="Subtle Reference1"/>
    <w:basedOn w:val="132"/>
    <w:qFormat/>
    <w:uiPriority w:val="31"/>
    <w:rPr>
      <w:smallCaps/>
      <w:color w:val="C0504D" w:themeColor="accent2"/>
      <w:u w:val="single"/>
      <w14:textFill>
        <w14:solidFill>
          <w14:schemeClr w14:val="accent2"/>
        </w14:solidFill>
      </w14:textFill>
    </w:rPr>
  </w:style>
  <w:style w:type="character" w:customStyle="1" w:styleId="171">
    <w:name w:val="Book Title"/>
    <w:basedOn w:val="132"/>
    <w:qFormat/>
    <w:uiPriority w:val="33"/>
    <w:rPr>
      <w:b/>
      <w:bCs/>
      <w:smallCaps/>
      <w:spacing w:val="5"/>
    </w:rPr>
  </w:style>
  <w:style w:type="paragraph" w:customStyle="1" w:styleId="172">
    <w:name w:val="TOC Heading1"/>
    <w:basedOn w:val="3"/>
    <w:next w:val="1"/>
    <w:semiHidden/>
    <w:unhideWhenUsed/>
    <w:qFormat/>
    <w:uiPriority w:val="39"/>
    <w:pPr>
      <w:outlineLvl w:val="9"/>
    </w:pPr>
  </w:style>
  <w:style w:type="character" w:customStyle="1" w:styleId="173">
    <w:name w:val="Heading 2 Char1"/>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74">
    <w:name w:val="Heading 4 Char1"/>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75">
    <w:name w:val="Intense Emphasis"/>
    <w:basedOn w:val="132"/>
    <w:qFormat/>
    <w:uiPriority w:val="21"/>
    <w:rPr>
      <w:b/>
      <w:bCs/>
      <w:i/>
      <w:iCs/>
      <w:color w:val="4F81BD" w:themeColor="accent1"/>
      <w14:textFill>
        <w14:solidFill>
          <w14:schemeClr w14:val="accent1"/>
        </w14:solidFill>
      </w14:textFill>
    </w:rPr>
  </w:style>
  <w:style w:type="character" w:customStyle="1" w:styleId="176">
    <w:name w:val="Heading 8 Char1"/>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77">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78">
    <w:name w:val="Quote Char1"/>
    <w:basedOn w:val="132"/>
    <w:link w:val="152"/>
    <w:uiPriority w:val="29"/>
    <w:rPr>
      <w:i/>
      <w:iCs/>
      <w:color w:val="000000" w:themeColor="text1"/>
      <w14:textFill>
        <w14:solidFill>
          <w14:schemeClr w14:val="tx1"/>
        </w14:solidFill>
      </w14:textFill>
    </w:rPr>
  </w:style>
  <w:style w:type="character" w:customStyle="1" w:styleId="179">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80">
    <w:name w:val="Intense Emphasis1"/>
    <w:basedOn w:val="132"/>
    <w:qFormat/>
    <w:uiPriority w:val="21"/>
    <w:rPr>
      <w:b/>
      <w:bCs/>
      <w:i/>
      <w:iCs/>
      <w:color w:val="4F81BD" w:themeColor="accent1"/>
      <w14:textFill>
        <w14:solidFill>
          <w14:schemeClr w14:val="accent1"/>
        </w14:solidFill>
      </w14:textFill>
    </w:rPr>
  </w:style>
  <w:style w:type="character" w:customStyle="1" w:styleId="181">
    <w:name w:val="Book Title1"/>
    <w:basedOn w:val="132"/>
    <w:qFormat/>
    <w:uiPriority w:val="33"/>
    <w:rPr>
      <w:b/>
      <w:bCs/>
      <w:smallCaps/>
      <w:spacing w:val="5"/>
    </w:rPr>
  </w:style>
  <w:style w:type="character" w:customStyle="1" w:styleId="182">
    <w:name w:val="Heading 5 Char1"/>
    <w:basedOn w:val="132"/>
    <w:link w:val="7"/>
    <w:semiHidden/>
    <w:uiPriority w:val="9"/>
    <w:rPr>
      <w:rFonts w:asciiTheme="majorHAnsi" w:hAnsiTheme="majorHAnsi" w:eastAsiaTheme="majorEastAsia" w:cstheme="majorBidi"/>
      <w:color w:val="254061" w:themeColor="accent1" w:themeShade="80"/>
    </w:rPr>
  </w:style>
  <w:style w:type="character" w:customStyle="1" w:styleId="183">
    <w:name w:val="Heading 1 Char1"/>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84">
    <w:name w:val="Heading 9 Char1"/>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85">
    <w:name w:val="Subtle Emphasis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86">
    <w:name w:val="Intense Reference1"/>
    <w:basedOn w:val="132"/>
    <w:qFormat/>
    <w:uiPriority w:val="32"/>
    <w:rPr>
      <w:b/>
      <w:bCs/>
      <w:smallCaps/>
      <w:color w:val="C0504D" w:themeColor="accent2"/>
      <w:spacing w:val="5"/>
      <w:u w:val="single"/>
      <w14:textFill>
        <w14:solidFill>
          <w14:schemeClr w14:val="accent2"/>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2026-09-02T15:06:00Z</dcterms:created>
  <dc:creator>Data</dc:creator>
  <cp:lastModifiedBy>明日边缘</cp:lastModifiedBy>
  <dcterms:modified xsi:type="dcterms:W3CDTF">2026-09-24T13:29:42Z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B138C15343521EFF46B5B46A9CB67EB2_43</vt:lpwstr>
  </property>
</Properties>
</file>