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8）**覆盖边界：评测集只覆盖「关键词可达 × 已复核星级」的子集（本轮实测，含数值）**：标签集由「关键词初筛 → LLM 复核（限低星）」产生，故 `val_v3_test` 的 **128 条正例 100% 含一阶关键词**，四五星与无关键词评论在构造上都不会被标为正例。**凭证到位后已完成两处实测**（DeepSeek 官方 API，共 599 次判定，约 0.02 美元）：① **四五星候选池**（12,744 条）分层抽样 299 条 → LLM 判正 27 条，其中**耳机音质类 14 条（4.7%）**→ 外推 **≈456 条**（95% CI 212–701）从未被复核；同一批样本上 **v2 模型判正 0 条（召回 0%）**，即「表面正面、实为抱怨」是模型的系统性盲区；② **关键词之外**（87,071 条）随机抽 300 条 → LLM 判正 6 条，其中**耳机音质类 4 条（1.33%）**→ 外推 **≈1,161 条**（95% CI 452–2,941）**根本不会进入管线**。**含义**：语料内耳机音质差评总量约 **2,897 条**（1,280 已标 + 456 + 1,161），现有标签集约占 **44%**；故 F1@调优 0.7220 等指标的适用范围是「关键词可达 + 已复核星级」子集，**全语料召回显著更低**（上界口径 ≈ 现有值 × 44%）。**这不是指标错误，而是实测出的覆盖边界**；补充人群尚未并入训练/评估，故对现有指标无追溯影响。改进路径（下一阶段，属 v3 工作量）：加「是否耳机」前置过滤（LLM 命中中约 37% 为跨品类）、去掉星级筛选、闸门改为模型概率直判并抽样校验。详见 `docs/scoped_findings.md`、`v2/scoped_estimates.json`。</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