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音质差评识别</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注：性能指标在 v2 留出集（val_v3_test，n=10,000、正例 128）上测得，与 v1 复赛数字（val_v2）样本集不同、不可直比；v1 值见附录 C。</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数字审计（186 项检查／0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逐类阈值；评估范围为音质差评正例</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API、审计工具链（186 项检查／0 FAIL）、仓库卫生扫描、负向自测（15 项）、预提交守卫。</w:t>
      </w:r>
    </w:p>
    <w:p>
      <w:r>
        <w:t>核心发现：① 三星评论 41.5% 实为音质差评（规则漏检）；② RLCA 两阶段标注把可用正例从 63 条扩至 1,280 条（当前口径），弱标注精度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6）语言覆盖：仅英文；非英文评论被显式拒绝并计数。</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452–2,941）**根本不会进入管线。**含义（口径必须成对，不得混用）**：语料内耳机音质差评总量约 **2,461–2,826 条**，现有标签集约占 **52.0%–45.3%**；故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9）**两代模型的关系：不可比，且本报告不主张 v2 优于 v1（2026-10-01 补充实测）**：把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本附录为表述层更正：数字本身不变，改的是描述方式，并写明影响范围。</w:t>
      </w:r>
    </w:p>
    <w:p>
      <w:r>
        <w:t>1）dummy 基线标签：原表述全判正常 F1 = 0.025 有误——0.0248 是平凡上界（阈值扫至 ≤0 时等价于全判正）；全判正常时 F1@0.5 = 0.0000。仅标签更正，数值未变。</w:t>
      </w:r>
    </w:p>
    <w:p>
      <w:r>
        <w:t>2）非英文评论行为：v1 文档第 9.1 节写会被静默判为正常属过时陈述；代码行为是显式拒绝并计数（与该文档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