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**价值边界（必读，2026-10-02 实测）**：本系统当前的实际能力是「对**关键词可达**的评论做优先级排序与归因」，**不是**「找出评论里所有耳机音质差评」——在接近真实使用的分层上（卖家上传自己的评论）实测召回 **0.000**、混合样本 F1 **0.427**（分布内主指标为 0.7220）；根因与修法见附录 C 第 10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**声学抱怨识别（真实场景口径，人工真值）**</w:t>
            </w:r>
          </w:p>
        </w:tc>
        <w:tc>
          <w:tcPr>
            <w:tcW w:type="dxa" w:w="2160"/>
          </w:tcPr>
          <w:p>
            <w:r/>
            <w:r>
              <w:rPr>
                <w:sz w:val="18"/>
              </w:rPr>
              <w:t>—</w:t>
            </w:r>
          </w:p>
        </w:tc>
        <w:tc>
          <w:tcPr>
            <w:tcW w:type="dxa" w:w="2160"/>
          </w:tcPr>
          <w:p>
            <w:r/>
            <w:r>
              <w:rPr>
                <w:sz w:val="18"/>
              </w:rPr>
              <w:t>**F1 0.427、精确率 0.320、PR-AUC 0.396**；闸门外自然混合层召回 **0.000**</w:t>
            </w:r>
          </w:p>
        </w:tc>
        <w:tc>
          <w:tcPr>
            <w:tcW w:type="dxa" w:w="2160"/>
          </w:tcPr>
          <w:p>
            <w:r/>
            <w:r>
              <w:rPr>
                <w:sz w:val="18"/>
              </w:rPr>
              <w:t>**本行是买家实际体验的上界估计，与上一行不可混用；详见附录 C 第 10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注：上一行性能指标在 v2 留出集（val_v3_test，n=10,000、正例 128）上测得，与 v1 复赛数字（val_v2）样本集不同、不可直比；v1 值见附录 C。**「真实场景口径」一行以决策方人工判定的 500 条为真值，是产品实际可用性的估计**（该测试集 128 条正例中 80 条并非耳机音质差评，见附录 C 第 9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0.000**；S2 四五星池 n=96、真阳 7 → 精确 0.286／召回 0.286；S3 已标注集（50/50 人为平衡）n=89、真阳 15 → 精确 0.326／召回 0.933；**混合合计 n=479 → 精确 0.320／召回 0.640／F1 0.427／PR-AUC 0.396**。**读法**：①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