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参赛场景：AI市场洞察</w:t>
      </w:r>
    </w:p>
    <w:p>
      <w:r>
        <w:t>方案名称：SoundInsight（蓝牙耳机音质差评智能归因系统）</w:t>
      </w:r>
    </w:p>
    <w:p>
      <w:r>
        <w:t>一句话定义：为跨境电商耳机卖家提供音质差评自动识别与五类问题归因的一站式洞察工具，把人工数小时的差评梳理压缩到分钟级；产品推理 100% 本地，卖家数据不出境。</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一句话定义（为谁解决什么问题，核心价值）：</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api_server:app（GET /health、POST /predict）。</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8）**评测集继承关键词闸门（结构性局限，本轮实测发现）**：标签集由「关键词初筛 → LLM 复核」产生，因此 `val_v3_test` 的 **128 条正例 100% 含一阶关键词**；不含关键词的评论（占语料 **86.9%**）在构造上不可能被标为正例。后果：现有全部指标（F1@调优 0.7220 等）的适用范围是「**关键词可达子集**」（占语料 13.1%），**闸门之外的真阳性率尚未测量**——这不等于「没有」，而是「未测」。**已做的代理测量**：模型在闸门外评论上的判正率仅 **0.03%**（3/8,687，Wilson 95% CI 0.01–0.10%；对照闸门内误报率 1.94%），故**去掉闸门在当前无收益**（预计仅新增 ≈30 条误报、召回不变，精确率 79.1%→77.0%）。**定论仍需**无关键词抽样 + LLM 复核（下一阶段）。详见 `docs/difficulty_stratification.md`、`docs/outside_gate_fp.md`。</w:t>
      </w:r>
    </w:p>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