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452–2,941）**根本不会进入管线。**含义（口径必须成对，不得混用）**：语料内耳机音质差评总量约 **2,461–2,826 条**，现有标签集约占 **52.0%–45.3%**；故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**闸门外真阳性率已获独立人工佐证（2026-10-02，两轮共 195 条人工判定）**：首轮 100 条人工 3.16%（n=95），追加 100 条**人工 0 条正例**，合并 **3/195 = 1.54%（95% CI 0.52%–4.42%）**，与原 LLM 口径 **1.33% 相容**；据此覆盖为 **48.5%（严格）／42.0%（宽松）**（CI 24.8%–72.9%），与原报 52.0%／45.3% 相差约 3.5 个百分点，**引用时并列两个口径**；另有判定稳定性数据：同一批 300 条在两份不同卡上一致率 91.0%、改判 9.0% 且**无一条翻向「是」**（更保守，属安全方向）；③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D-Q8：是否按产品类型收紧口径）。</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