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逐类阈值；评估范围为**声学相关抱怨正例**（非严格耳机音质，口径见附录 C 第 8–9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条（当前口径）**——**该集合的准确称谓是「声学相关抱怨集」而非「耳机音质差评集」**（见附录 C 第 8 条）：按产品口径判定，其中**耳机家族（头戴/入耳/耳塞）约 530 条（41.4%）**，经人工抽样校准后估计**约 380–400 条**为真实的耳机音质差评；弱标注精度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452–2,941）**根本不会进入管线。**含义（口径必须成对，不得混用）**：语料内**声学相关抱怨**总量约 **2,461–2,826 条**（**并非全部是耳机音质差评**：已标注正例中耳机家族约 **41.4%**，人工校准后估计真实耳机音质差评约 **380–400 条**），现有标签集约占 **52.0%–45.3%**（人工佐证口径 **48.5%–42.0%**）；故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**闸门外真阳性率已获独立人工佐证（2026-10-02，两轮共 195 条人工判定）**：首轮 100 条人工 3.16%（n=95），追加 100 条**人工 0 条正例**，合并 **3/195 = 1.54%（95% CI 0.52%–4.42%）**，与原 LLM 口径 **1.33% 相容**；据此覆盖为 **48.5%（严格）／42.0%（宽松）**（CI 24.8%–72.9%），与原报 52.0%／45.3% 相差约 3.5 个百分点，**引用时并列两个口径**；另有判定稳定性数据：同一批 300 条在两份不同卡上一致率 91.0%、改判 9.0% 且**无一条翻向「是」**（更保守，属安全方向）；③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D-Q8）。**口径全量量化（2026-10-02）**：对 1,280 条已标注正例做产品口径判定（分类器经人工真值验证：召回 92%、误报 17%）——其中**耳机家族仅约 530 条（41.4%）**，其余为音箱（255）、其他音频（162）、非音频（109）、线缆（53）、无法判断（136）等；故本报告统一改述为「**声学相关抱怨集**」，相应指标口径须读作「声学抱怨（非严格耳机音质）」。</w:t>
      </w:r>
    </w:p>
    <w:p>
      <w:r>
        <w:t>9）**范围内重评（2026-10-02，纯后处理）**：把冻结点测集按产品口径切分后分别报告（阈值取自 `v2/threshold.json`，使用现成概率缓存，未重跑模型）：全测试集 10,000 条／正例 128 → **F1@0.5 0.7206、F1@调优 0.7220、PR-AUC 0.7811**；**耳机家族 778 条／正例 48 → F1@0.5 0.6966、F1@调优 0.6897、PR-AUC 0.7783**；明确口径外 6,858 条／正例 64 → 0.7302／0.7317／0.7918；无法判断 2,364 条／正例 16 → 0.7500／0.7742／0.7936。**两点必须同时读**：① 测试集 128 条正例中 **80 条（62.5%）并非耳机音质差评**；② **限定到耳机口径并不会让指标变好**（F1 0.6966 &lt; 0.7220，且组内仅 48 条正例）——故本项目**不主张**「收紧口径可提升性能」；该表回答的是「限定范围后指标长什么样」，不是新模型结果。详见 `docs/inscope_reeval.md`。</w:t>
      </w:r>
    </w:p>
    <w:p>
      <w:r>
        <w:t>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