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452–2,941）**根本不会进入管线。**含义（口径必须成对，不得混用）**：语料内耳机音质差评总量约 **2,461–2,826 条**，现有标签集约占 **52.0%–45.3%**；故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**S1 人工真阳性率 3.03%（95% CI 1.04%–8.53%），原 LLM 口径为 1.33%**——两区间重叠故**不能推翻**原估计，但若采用人工点估计，覆盖总量口径下的覆盖率由 52.0%／45.3%降至约 32%（CI 14.5%–58.1%），**引用覆盖数字时须并列两个口径**；③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D-Q8：是否按产品类型收紧口径）。</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