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Markdown／Excel（报告含**三档清单**、**非音质差评的类型分布**与**不可归因原因**）。</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 **15 条 = 0.105%**（Wilson 95% CI 0.064%–0.173%）；同期人工真值率约 1% 量级</w:t>
            </w:r>
          </w:p>
        </w:tc>
        <w:tc>
          <w:tcPr>
            <w:tcW w:type="dxa" w:w="2160"/>
          </w:tcPr>
          <w:p>
            <w:r/>
            <w:r>
              <w:rPr>
                <w:sz w:val="18"/>
              </w:rPr>
              <w:t>**提示召回显著偏低；与上一行不可混用；详见附录 C 第 11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五类自动归因；**人工口径宏 F1 0.52–0.44**（对 LLM 标签为 0.8273[v2]，两者不可混用）；逐类不均衡：低音 0.82／杂音 0.56／音量 0.57／**清晰度 0.23**／**高音 0.00**</w:t>
            </w:r>
          </w:p>
        </w:tc>
        <w:tc>
          <w:tcPr>
            <w:tcW w:type="dxa" w:w="2160"/>
          </w:tcPr>
          <w:p>
            <w:r/>
            <w:r>
              <w:rPr>
                <w:sz w:val="18"/>
              </w:rPr>
              <w:t>从无到有，但**归因可靠性中等**，报告中的类别需人工复核</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
              <w:rPr>
                <w:sz w:val="18"/>
              </w:rPr>
              <w:t>**降噪类抱怨在五类中没有对应类别**（二分类上算音质、归因上无处安放）</w:t>
            </w:r>
          </w:p>
        </w:tc>
        <w:tc>
          <w:tcPr>
            <w:tcW w:type="dxa" w:w="2160"/>
          </w:tcPr>
          <w:p>
            <w:r/>
            <w:r>
              <w:rPr>
                <w:sz w:val="18"/>
              </w:rPr>
              <w:t>已在附录 C 第 12 条披露</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4）**三档输出**：优先处理档（实测精确率 63%，n=19）／待复核档／范围外档——**档位名后的数字来自人工告警样本，引用时不得省略**；范围外档明确标注「未判定 ≠ 正常」；</w:t>
      </w:r>
    </w:p>
    <w:p>
      <w:r>
        <w:t>5）**非音质差评的类型分布**：对非音质的差评给出反馈类型（连接/配对、续航/充电、做工/耐用、佩戴/舒适、麦克风/通话、功能/操作、物流/包装、价格/性价比、客服/售后、描述不符/假货、其他）——**本地模型、零 API**，训练自 LLM 标签，**尚未经人工校准**，用于分诊而非结论；</w:t>
      </w:r>
    </w:p>
    <w:p>
      <w:r>
        <w:t>6）**不可归因原因**：对提到声音却说不清的评论，给出原因（表述模糊／只提降噪（五类之外）／功能故障而非音质／弱褒奖非抱怨／非耳机产品／信息不足）——同样为本地模型、待人工校准；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0.8273（**对 LLM 标签**）；高音类 F1 = 0.5333（**测试集该类正例仅 10 条**）</w:t>
            </w:r>
          </w:p>
        </w:tc>
        <w:tc>
          <w:tcPr>
            <w:tcW w:type="dxa" w:w="2880"/>
          </w:tcPr>
          <w:p>
            <w:r/>
            <w:r>
              <w:rPr>
                <w:sz w:val="18"/>
              </w:rPr>
              <w:t>逐类阈值；评估范围为**声学相关抱怨正例**（非严格耳机音质，口径见附录 C 第 8–9 条）。⚠️ **人工口径下已下修**：同子集（28 条）模型 vs 人工 **0.5157**、全部 50 条 0.4371；**高音类在出厂阈值（0.5）下不输出**（人工标了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`docs/w13_keyword_miss_rate.md`。仍为最弱类别。**三层原因（2026-10-03 补充）**：① **评测分辨率不足**——冻结测试集该类正例仅 **10 条**（调参集上该类 F1 仅 0.4444），任何 F1 都带极宽区间；② **类目定义不互斥**——`tinny`／`sibilance` 同时落在「清晰度」与「高音」两个词桶内，模型无法稳定区分；③ **出厂阈值下不输出**——人工校验的 50 条中人工标了 3 条高音，模型**一条未报**（该类 F1 = 0.000）。**处置**：不修（三类修法分别是「调阈值」（无法用 10 条正例验证）、「改类目」（改变产品语义，属新世代）、「补正例重训」（已证否路线）），改为**如实标注**并在报告类别上提示人工复核。</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9/100 = 9.0%**（Wilson 95% CI 4.8%–16.2%；Clopper-Pearson 4.2%–16.4%）据此，扩词表在全语料可回收真阳约 **78 条**（区间 41–140）。**三点必须同时读**：① 命中者中约 **91% 并不是**真阳——闸门外总体以噪声为主，**扩词表不是主要杠杆**；② 先前基于 8 条（含写词表时看过的条目）得到的 37.5% 属**事后拟合**，独立检验把它下调到 9.0%（**放大 4 倍**）——这条同时实证了本项目「先冻结、后检验」纪律的价值；③ 本次判定 **100/100 完成**，与预注册一致。</w:t>
      </w:r>
    </w:p>
    <w:p>
      <w:r>
        <w:t>12）**五类归因的人工校验（2026-10-03 完成；取代「未校准」表述）**：以 50 条人工归因（Arm A 25 条已确认音质抱怨＋Arm B 25 条模型告警）为真值：**模型 vs 人工 宏 F1 = 0.4371**（n=50）；在**有 LLM 类标签的 28 条**上（即 0.8273 的真实评测面）**0.5157**——而**出厂宣称的 0.8273 是「模型 vs LLM 标签」**；同一批条目上**LLM 标签 vs 人工 = 0.6795，反优于模型**（模型相对其老师是退化的）。**逐类**：低音 0.824／杂音 0.560／音量 0.571／**清晰度 0.231（精确率仅 0.158）**／**高音 0.000**。**两点定性发现**：① Arm B 25 条中 **9 条为非耳机或与音频无关的产品**（音箱、条形音箱、CD 播放器、手机壳…）——即出厂模型**自己的告警里约 36% 打在了错误品类**上；② **降噪类抱怨在五类归因中没有对应类别**（人工反复注明「与五类归因不相交」），构成**类目缺口**：它在二分类上算音质抱怨，却无处归因。**对外表述相应下调**：归因应按「人工口径 0.44–0.52」呈现，并标注类别不均衡与类目缺口。</w:t>
      </w:r>
    </w:p>
    <w:p>
      <w:r>
        <w:t>13）**告警精确率与召回（2026-10-03 实测，干净池）**：在干净池（留出侧＋闸门外＋从未训练＋从未判过，14,299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的告警不是真阳**——故其当前正当用法是「在**关键词可达**的评论上做优先级排序」，**不是**通用发现器。15）**2026-10-03 新增能力与验证状态（P0/P1）**：① **三档输出**：优先处理档（人工告警样本实测精确率 **63%**，n=19）／待复核档／范围外档；</w:t>
      </w:r>
    </w:p>
    <w:p>
      <w:r>
        <w:t>范围外档明确标注「**未判定 ≠ 正常**」；**档位名后的实测数字不得省略**。</w:t>
      </w:r>
    </w:p>
    <w:p>
      <w:r>
        <w:t>② **品类模型（本地、零 API）**：11,979 条口径标签训练，留出段 acc **0.6774**、</w:t>
      </w:r>
    </w:p>
    <w:p>
      <w:r>
        <w:t>耳机家族合并 **精确率 0.8848／召回 0.7802**；品类仅作展示。**品类过滤实测取舍：不划算，故默认关闭**——40 条人工告警上精确率 37.5%→53.8%，</w:t>
      </w:r>
    </w:p>
    <w:p>
      <w:r>
        <w:t>但**丢弃人工真阳 8/15＝53%**、仅保留 13/40 条目。③ **非音质差评的类型分布（13 类）与不可归因原因（7 类）**：本地模型、零 API，</w:t>
      </w:r>
    </w:p>
    <w:p>
      <w:r>
        <w:t>训练自 LLM 标签（20,000 条标注，实测成本 $2.97）；**尚未经人工校准**，验证卡 130 条（每类 10 条）已就绪，校准前不得作为结论引用。</w:t>
      </w:r>
    </w:p>
    <w:p>
      <w:r>
        <w:t>④ **闸门外监督**：本轮首次为「没提音频词」的评论取得监督——20,000 条标注中闸门外 17,216 条里 **90 条**为音质抱怨</w:t>
      </w:r>
    </w:p>
    <w:p>
      <w:r>
        <w:t>（此前仅 15 条）；据此重训的音质模型（v5）**评测结果待测**，不预设结论。⑤ **主动砍掉的方案（负面结果同样披露）**：曾设计「品类判耳机 ⇒ 绕过音频词汇闸门」的</w:t>
      </w:r>
    </w:p>
    <w:p>
      <w:r>
        <w:t>旁路以补召回，**免费预试即否决**：放行 313 条仅触发 1 条，而该子集期望正例 1–7 条 → 隐含精确率区间 0.814–6.917，</w:t>
      </w:r>
    </w:p>
    <w:p>
      <w:r>
        <w:t>**不携带成功信息**（放大量 ≠ 提能力）；瓶颈在模型而非路由。⑥ **验收测量进行中**：出厂总体（闸门内 ∧ 品类判耳机）分层抽 100 条</w:t>
      </w:r>
    </w:p>
    <w:p>
      <w:r>
        <w:t>（触发 50＋未触发 50，仅留出侧）由决策方盲判，用于给出**精确率与召回**的实测值。在该测量完成前，本报告不得使用「覆盖大部分场景」「高精确度」等表述。</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