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452–2,941）**根本不会进入管线。**含义（口径必须成对，不得混用）**：语料内耳机音质差评总量约 **2,461–2,826 条**，现有标签集约占 **52.0%–45.3%**；故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**闸门外真阳性率已获独立人工佐证（2026-10-02，两轮共 195 条人工判定）**：首轮 100 条人工 3.16%（n=95），追加 100 条**人工 0 条正例**，合并 **3/195 = 1.54%（95% CI 0.52%–4.42%）**，与原 LLM 口径 **1.33% 相容**；据此覆盖为 **48.5%（严格）／42.0%（宽松）**（CI 24.8%–72.9%），与原报 52.0%／45.3% 相差约 3.5 个百分点，**引用时并列两个口径**；另有判定稳定性数据：同一批 300 条在两份不同卡上一致率 91.0%、改判 9.0% 且**无一条翻向「是」**（更保守，属安全方向）；③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