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379F2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 Relatório de Análise: COVID-19 no Brasil (2020-2021)</w:t>
      </w:r>
    </w:p>
    <w:p w14:paraId="74FA0437" w14:textId="77777777" w:rsidR="000D7CB2" w:rsidRDefault="000D7CB2" w:rsidP="000D7CB2"/>
    <w:p w14:paraId="3680A0E0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 Introdução</w:t>
      </w:r>
    </w:p>
    <w:p w14:paraId="7FA8849E" w14:textId="77777777" w:rsidR="000D7CB2" w:rsidRDefault="000D7CB2" w:rsidP="000D7CB2">
      <w:r w:rsidRPr="000D7CB2">
        <w:rPr>
          <w:b/>
          <w:bCs/>
        </w:rPr>
        <w:t>- Base de dados:</w:t>
      </w:r>
      <w:r>
        <w:t xml:space="preserve"> Google </w:t>
      </w:r>
      <w:proofErr w:type="spellStart"/>
      <w:r>
        <w:t>BigQuery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(covid19_open_data)</w:t>
      </w:r>
    </w:p>
    <w:p w14:paraId="7EF49A08" w14:textId="77777777" w:rsidR="000D7CB2" w:rsidRDefault="000D7CB2" w:rsidP="000D7CB2">
      <w:r w:rsidRPr="000D7CB2">
        <w:rPr>
          <w:b/>
          <w:bCs/>
        </w:rPr>
        <w:t>- Período analisado:</w:t>
      </w:r>
      <w:r>
        <w:t xml:space="preserve"> 2020-01-01 a 2021-12-31</w:t>
      </w:r>
    </w:p>
    <w:p w14:paraId="08C60FD5" w14:textId="77777777" w:rsidR="000D7CB2" w:rsidRDefault="000D7CB2" w:rsidP="000D7CB2">
      <w:r w:rsidRPr="000D7CB2">
        <w:rPr>
          <w:b/>
          <w:bCs/>
        </w:rPr>
        <w:t>- Ferramentas:</w:t>
      </w:r>
      <w:r>
        <w:t xml:space="preserve"> Google </w:t>
      </w:r>
      <w:proofErr w:type="spellStart"/>
      <w:r>
        <w:t>Colab</w:t>
      </w:r>
      <w:proofErr w:type="spellEnd"/>
      <w:r>
        <w:t xml:space="preserve">, Python, Pandas, </w:t>
      </w:r>
      <w:proofErr w:type="spellStart"/>
      <w:r>
        <w:t>Matplotlib</w:t>
      </w:r>
      <w:proofErr w:type="spellEnd"/>
    </w:p>
    <w:p w14:paraId="315A19A6" w14:textId="77777777" w:rsidR="000D7CB2" w:rsidRPr="000D7CB2" w:rsidRDefault="000D7CB2" w:rsidP="000D7CB2">
      <w:pPr>
        <w:rPr>
          <w:b/>
          <w:bCs/>
        </w:rPr>
      </w:pPr>
    </w:p>
    <w:p w14:paraId="6896C2C7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 Principais Descobertas</w:t>
      </w:r>
    </w:p>
    <w:p w14:paraId="7ABB4573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### 1. Estatísticas Gerais</w:t>
      </w:r>
    </w:p>
    <w:p w14:paraId="7D6441F6" w14:textId="33D1E9C9" w:rsidR="000D7CB2" w:rsidRDefault="000D7CB2" w:rsidP="000D7CB2">
      <w:r w:rsidRPr="000D7CB2">
        <w:rPr>
          <w:b/>
          <w:bCs/>
        </w:rPr>
        <w:t>- Total de casos:</w:t>
      </w:r>
      <w:r>
        <w:t xml:space="preserve"> </w:t>
      </w:r>
      <w:r w:rsidRPr="000D7CB2">
        <w:t>71,081,963</w:t>
      </w:r>
    </w:p>
    <w:p w14:paraId="0A437DDF" w14:textId="513723D7" w:rsidR="000D7CB2" w:rsidRDefault="000D7CB2" w:rsidP="000D7CB2">
      <w:r w:rsidRPr="000D7CB2">
        <w:rPr>
          <w:b/>
          <w:bCs/>
        </w:rPr>
        <w:t>- Total de óbitos:</w:t>
      </w:r>
      <w:r>
        <w:t xml:space="preserve"> </w:t>
      </w:r>
      <w:r w:rsidRPr="000D7CB2">
        <w:t>2,006,477</w:t>
      </w:r>
    </w:p>
    <w:p w14:paraId="5A407F18" w14:textId="78CE8375" w:rsidR="000D7CB2" w:rsidRDefault="000D7CB2" w:rsidP="000D7CB2">
      <w:r w:rsidRPr="000D7CB2">
        <w:rPr>
          <w:b/>
          <w:bCs/>
        </w:rPr>
        <w:t>- Dia com maior número de casos:</w:t>
      </w:r>
      <w:r w:rsidRPr="000D7CB2">
        <w:t xml:space="preserve"> </w:t>
      </w:r>
      <w:r w:rsidRPr="000D7CB2">
        <w:t>2021-09-18</w:t>
      </w:r>
    </w:p>
    <w:p w14:paraId="7758A690" w14:textId="720FA334" w:rsidR="000D7CB2" w:rsidRDefault="000D7CB2" w:rsidP="000D7CB2">
      <w:r w:rsidRPr="000D7CB2">
        <w:rPr>
          <w:b/>
          <w:bCs/>
        </w:rPr>
        <w:t>- Mês mais crítico:</w:t>
      </w:r>
      <w:r>
        <w:t xml:space="preserve"> </w:t>
      </w:r>
      <w:r w:rsidRPr="000D7CB2">
        <w:t>2021-03</w:t>
      </w:r>
    </w:p>
    <w:p w14:paraId="1EFAE344" w14:textId="77777777" w:rsidR="000D7CB2" w:rsidRDefault="000D7CB2" w:rsidP="000D7CB2"/>
    <w:p w14:paraId="19ED7269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### 2. Evolução Temporal</w:t>
      </w:r>
    </w:p>
    <w:p w14:paraId="64185418" w14:textId="20A4EC03" w:rsidR="000D7CB2" w:rsidRDefault="000D7CB2" w:rsidP="000D7CB2">
      <w:pPr>
        <w:rPr>
          <w:noProof/>
        </w:rPr>
      </w:pPr>
      <w:r>
        <w:rPr>
          <w:noProof/>
        </w:rPr>
        <w:drawing>
          <wp:inline distT="0" distB="0" distL="0" distR="0" wp14:anchorId="71FEFB4A" wp14:editId="2A8600E9">
            <wp:extent cx="5400040" cy="2856230"/>
            <wp:effectExtent l="0" t="0" r="0" b="1270"/>
            <wp:docPr id="216087464" name="Imagem 2" descr="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87464" name="Imagem 2" descr="Gráfico&#10;&#10;O conteúdo gerado por IA pode estar incorre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5AB0" w14:textId="77777777" w:rsidR="000D7CB2" w:rsidRDefault="000D7CB2" w:rsidP="000D7CB2"/>
    <w:p w14:paraId="145F125C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### 3. Taxa de Mortalidade</w:t>
      </w:r>
    </w:p>
    <w:p w14:paraId="1E500DA5" w14:textId="77777777" w:rsidR="000D7CB2" w:rsidRDefault="000D7CB2" w:rsidP="000D7CB2">
      <w:r w:rsidRPr="000D7CB2">
        <w:rPr>
          <w:b/>
          <w:bCs/>
        </w:rPr>
        <w:t>- Média geral:</w:t>
      </w:r>
      <w:r>
        <w:t xml:space="preserve"> [X]%</w:t>
      </w:r>
    </w:p>
    <w:p w14:paraId="00282B97" w14:textId="5D7BCB91" w:rsidR="000D7CB2" w:rsidRDefault="000D7CB2" w:rsidP="000D7CB2">
      <w:r w:rsidRPr="000D7CB2">
        <w:rPr>
          <w:b/>
          <w:bCs/>
        </w:rPr>
        <w:t>- Período com maior taxa:</w:t>
      </w:r>
      <w:r>
        <w:t xml:space="preserve"> </w:t>
      </w:r>
      <w:r w:rsidRPr="000D7CB2">
        <w:t>4105295  2021-12-31          74.714286</w:t>
      </w:r>
    </w:p>
    <w:p w14:paraId="201CFF9F" w14:textId="77777777" w:rsidR="000D7CB2" w:rsidRDefault="000D7CB2" w:rsidP="000D7CB2"/>
    <w:p w14:paraId="13874059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 Insights e Conclusões</w:t>
      </w:r>
    </w:p>
    <w:p w14:paraId="6F159187" w14:textId="77777777" w:rsidR="00095097" w:rsidRPr="00095097" w:rsidRDefault="000D7CB2" w:rsidP="00095097">
      <w:pPr>
        <w:numPr>
          <w:ilvl w:val="0"/>
          <w:numId w:val="1"/>
        </w:numPr>
        <w:jc w:val="both"/>
      </w:pPr>
      <w:r w:rsidRPr="000D7CB2">
        <w:rPr>
          <w:b/>
          <w:bCs/>
        </w:rPr>
        <w:t xml:space="preserve">1. Padrão sazonal observado: </w:t>
      </w:r>
      <w:r w:rsidR="00095097" w:rsidRPr="00095097">
        <w:rPr>
          <w:b/>
          <w:bCs/>
        </w:rPr>
        <w:t>Inverno como Período Crítico:</w:t>
      </w:r>
      <w:r w:rsidR="00095097" w:rsidRPr="00095097">
        <w:t> Houve uma clara tendência de aumento de casos e mortes durante os meses de inverno no Hemisfério Sul (aproximadamente junho a setembro), especialmente em 2020 e 2021. Isso se deve a uma combinação de fatores:</w:t>
      </w:r>
    </w:p>
    <w:p w14:paraId="297CD571" w14:textId="77777777" w:rsidR="00095097" w:rsidRPr="00095097" w:rsidRDefault="00095097" w:rsidP="00095097">
      <w:pPr>
        <w:numPr>
          <w:ilvl w:val="1"/>
          <w:numId w:val="1"/>
        </w:numPr>
        <w:jc w:val="both"/>
      </w:pPr>
      <w:r w:rsidRPr="00095097">
        <w:rPr>
          <w:b/>
          <w:bCs/>
        </w:rPr>
        <w:t>Comportamento Humano:</w:t>
      </w:r>
      <w:r w:rsidRPr="00095097">
        <w:t> Maior aglomeração em ambientes fechados devido ao frio e chuva.</w:t>
      </w:r>
    </w:p>
    <w:p w14:paraId="35150B05" w14:textId="77777777" w:rsidR="00095097" w:rsidRPr="00095097" w:rsidRDefault="00095097" w:rsidP="00095097">
      <w:pPr>
        <w:numPr>
          <w:ilvl w:val="1"/>
          <w:numId w:val="1"/>
        </w:numPr>
        <w:jc w:val="both"/>
      </w:pPr>
      <w:r w:rsidRPr="00095097">
        <w:rPr>
          <w:b/>
          <w:bCs/>
        </w:rPr>
        <w:t>Condições Atmosféricas:</w:t>
      </w:r>
      <w:r w:rsidRPr="00095097">
        <w:t> Ar mais seco e frio pode facilitar a sobrevivência e transmissão do vírus no ar e potencialmente afetar a resposta imune das vias aéreas.</w:t>
      </w:r>
    </w:p>
    <w:p w14:paraId="035496C9" w14:textId="77777777" w:rsidR="00095097" w:rsidRPr="00095097" w:rsidRDefault="00095097" w:rsidP="00095097">
      <w:pPr>
        <w:numPr>
          <w:ilvl w:val="1"/>
          <w:numId w:val="1"/>
        </w:numPr>
        <w:jc w:val="both"/>
      </w:pPr>
      <w:r w:rsidRPr="00095097">
        <w:rPr>
          <w:b/>
          <w:bCs/>
        </w:rPr>
        <w:t>Sazonalidade de Outros Vírus Respiratórios:</w:t>
      </w:r>
      <w:r w:rsidRPr="00095097">
        <w:t> A sobrecarga do sistema de saúde por gripe (Influenza) e outros vírus (VSR) coincidindo com a COVID-19.</w:t>
      </w:r>
    </w:p>
    <w:p w14:paraId="5F2959EF" w14:textId="77777777" w:rsidR="00095097" w:rsidRPr="00095097" w:rsidRDefault="00095097" w:rsidP="00095097">
      <w:pPr>
        <w:numPr>
          <w:ilvl w:val="0"/>
          <w:numId w:val="1"/>
        </w:numPr>
        <w:jc w:val="both"/>
      </w:pPr>
      <w:r w:rsidRPr="00095097">
        <w:rPr>
          <w:b/>
          <w:bCs/>
        </w:rPr>
        <w:t>Verão com Relativo Alívio (mas não isento):</w:t>
      </w:r>
      <w:r w:rsidRPr="00095097">
        <w:t> Os meses mais quentes e úmidos (dezembro a março) geralmente trouxeram reduções nas taxas de transmissão, embora aglomerações festivas (Réveillon, Carnaval) tenham causado picos localizados e antecipado novas ondas.</w:t>
      </w:r>
    </w:p>
    <w:p w14:paraId="46BC4011" w14:textId="3B9C4DC3" w:rsidR="000D7CB2" w:rsidRDefault="00095097" w:rsidP="00095097">
      <w:pPr>
        <w:numPr>
          <w:ilvl w:val="0"/>
          <w:numId w:val="1"/>
        </w:numPr>
        <w:jc w:val="both"/>
      </w:pPr>
      <w:r w:rsidRPr="00095097">
        <w:rPr>
          <w:b/>
          <w:bCs/>
        </w:rPr>
        <w:t xml:space="preserve">Padrão Alterado pela </w:t>
      </w:r>
      <w:proofErr w:type="spellStart"/>
      <w:r w:rsidRPr="00095097">
        <w:rPr>
          <w:b/>
          <w:bCs/>
        </w:rPr>
        <w:t>Ômicron</w:t>
      </w:r>
      <w:proofErr w:type="spellEnd"/>
      <w:r w:rsidRPr="00095097">
        <w:rPr>
          <w:b/>
          <w:bCs/>
        </w:rPr>
        <w:t>:</w:t>
      </w:r>
      <w:r w:rsidRPr="00095097">
        <w:t xml:space="preserve"> A onda da variante </w:t>
      </w:r>
      <w:proofErr w:type="spellStart"/>
      <w:r w:rsidRPr="00095097">
        <w:t>Ômicron</w:t>
      </w:r>
      <w:proofErr w:type="spellEnd"/>
      <w:r w:rsidRPr="00095097">
        <w:t xml:space="preserve"> no verão de 2021/2022 (pico em janeiro/fevereiro) quebrou parcialmente esse padrão, demonstrando que novas variantes altamente transmissíveis podem sobrepor-se à sazonalidade.</w:t>
      </w:r>
    </w:p>
    <w:p w14:paraId="5F19F375" w14:textId="77777777" w:rsidR="00095097" w:rsidRPr="00095097" w:rsidRDefault="00095097" w:rsidP="00095097">
      <w:pPr>
        <w:ind w:left="720"/>
      </w:pPr>
    </w:p>
    <w:p w14:paraId="63AD45E7" w14:textId="77777777" w:rsidR="00095097" w:rsidRPr="00095097" w:rsidRDefault="000D7CB2" w:rsidP="00095097">
      <w:pPr>
        <w:numPr>
          <w:ilvl w:val="0"/>
          <w:numId w:val="2"/>
        </w:numPr>
        <w:jc w:val="both"/>
      </w:pPr>
      <w:r w:rsidRPr="000D7CB2">
        <w:rPr>
          <w:b/>
          <w:bCs/>
        </w:rPr>
        <w:t>2. Comparação entre primeira e segunda onda:</w:t>
      </w:r>
    </w:p>
    <w:p w14:paraId="20DDB67D" w14:textId="286C7410" w:rsidR="00095097" w:rsidRPr="00095097" w:rsidRDefault="000D7CB2" w:rsidP="00095097">
      <w:pPr>
        <w:ind w:left="720"/>
        <w:jc w:val="both"/>
      </w:pPr>
      <w:r w:rsidRPr="000D7CB2">
        <w:t xml:space="preserve"> </w:t>
      </w:r>
      <w:r w:rsidR="00095097" w:rsidRPr="00095097">
        <w:rPr>
          <w:b/>
          <w:bCs/>
        </w:rPr>
        <w:t xml:space="preserve">Primeira Onda (Pico ~ </w:t>
      </w:r>
      <w:proofErr w:type="gramStart"/>
      <w:r w:rsidR="00095097" w:rsidRPr="00095097">
        <w:rPr>
          <w:b/>
          <w:bCs/>
        </w:rPr>
        <w:t>Julho</w:t>
      </w:r>
      <w:proofErr w:type="gramEnd"/>
      <w:r w:rsidR="00095097" w:rsidRPr="00095097">
        <w:rPr>
          <w:b/>
          <w:bCs/>
        </w:rPr>
        <w:t>/</w:t>
      </w:r>
      <w:proofErr w:type="gramStart"/>
      <w:r w:rsidR="00095097" w:rsidRPr="00095097">
        <w:rPr>
          <w:b/>
          <w:bCs/>
        </w:rPr>
        <w:t>Agosto</w:t>
      </w:r>
      <w:proofErr w:type="gramEnd"/>
      <w:r w:rsidR="00095097" w:rsidRPr="00095097">
        <w:rPr>
          <w:b/>
          <w:bCs/>
        </w:rPr>
        <w:t xml:space="preserve"> de 2020):</w:t>
      </w:r>
    </w:p>
    <w:p w14:paraId="74AEAA8E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Impacto Inicial e Despreparo:</w:t>
      </w:r>
      <w:r w:rsidRPr="00095097">
        <w:t> Caracterizada pelo colapso inicial do sistema de saúde em grandes capitais (especialmente Norte/Nordeste como Manaus e Fortaleza), falta de insumos básicos (oxigênio, UTI, medicamentos), desconhecimento sobre tratamento e alto pânico.</w:t>
      </w:r>
    </w:p>
    <w:p w14:paraId="6BD1FEEC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Letalidade Mais Alta:</w:t>
      </w:r>
      <w:r w:rsidRPr="00095097">
        <w:t> Taxa de letalidade inicialmente elevada devido à subnotificação extrema de casos (testagem insuficiente) e desorganização do atendimento.</w:t>
      </w:r>
    </w:p>
    <w:p w14:paraId="722D8EF4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Disseminação Geográfica:</w:t>
      </w:r>
      <w:r w:rsidRPr="00095097">
        <w:t> Começou nas capitais e grandes centros e se espalhou para o interior.</w:t>
      </w:r>
    </w:p>
    <w:p w14:paraId="58D22425" w14:textId="77777777" w:rsidR="00095097" w:rsidRPr="00095097" w:rsidRDefault="00095097" w:rsidP="00095097">
      <w:pPr>
        <w:ind w:left="720"/>
        <w:jc w:val="both"/>
      </w:pPr>
      <w:r w:rsidRPr="00095097">
        <w:rPr>
          <w:b/>
          <w:bCs/>
        </w:rPr>
        <w:t xml:space="preserve">Segunda Onda (Pico ~ </w:t>
      </w:r>
      <w:proofErr w:type="gramStart"/>
      <w:r w:rsidRPr="00095097">
        <w:rPr>
          <w:b/>
          <w:bCs/>
        </w:rPr>
        <w:t>Março</w:t>
      </w:r>
      <w:proofErr w:type="gramEnd"/>
      <w:r w:rsidRPr="00095097">
        <w:rPr>
          <w:b/>
          <w:bCs/>
        </w:rPr>
        <w:t>/</w:t>
      </w:r>
      <w:proofErr w:type="gramStart"/>
      <w:r w:rsidRPr="00095097">
        <w:rPr>
          <w:b/>
          <w:bCs/>
        </w:rPr>
        <w:t>Abril</w:t>
      </w:r>
      <w:proofErr w:type="gramEnd"/>
      <w:r w:rsidRPr="00095097">
        <w:rPr>
          <w:b/>
          <w:bCs/>
        </w:rPr>
        <w:t xml:space="preserve"> de 2021):</w:t>
      </w:r>
    </w:p>
    <w:p w14:paraId="10C182E0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Dominada pela Variante Gama (P.1):</w:t>
      </w:r>
      <w:r w:rsidRPr="00095097">
        <w:t> Mais transmissível e associada a maior risco de reinfecção e potencialmente maior gravidade em alguns grupos.</w:t>
      </w:r>
    </w:p>
    <w:p w14:paraId="6AC68046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Colapso Mais Amplo e Grave:</w:t>
      </w:r>
      <w:r w:rsidRPr="00095097">
        <w:t> Afetou praticamente todo o território nacional de forma simultânea e intensa, com colapso generalizado de sistemas de saúde (incluindo falta crítica de oxigênio em Manaus novamente e em outras cidades), filas de UTIs e recordes diários de mortes.</w:t>
      </w:r>
    </w:p>
    <w:p w14:paraId="5C33E069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Letalidade Ainda Alta, mas com Testagem um Pouco Melhor:</w:t>
      </w:r>
      <w:r w:rsidRPr="00095097">
        <w:t> A letalidade continuou alta, embora a subnotificação de casos ainda fosse significativa (testagem melhorou, mas permaneceu insuficiente).</w:t>
      </w:r>
    </w:p>
    <w:p w14:paraId="4D34F409" w14:textId="77777777" w:rsidR="00095097" w:rsidRPr="00095097" w:rsidRDefault="00095097" w:rsidP="00095097">
      <w:pPr>
        <w:numPr>
          <w:ilvl w:val="1"/>
          <w:numId w:val="2"/>
        </w:numPr>
        <w:jc w:val="both"/>
      </w:pPr>
      <w:r w:rsidRPr="00095097">
        <w:rPr>
          <w:b/>
          <w:bCs/>
        </w:rPr>
        <w:t>Fadiga Pandêmica e Relaxamento:</w:t>
      </w:r>
      <w:r w:rsidRPr="00095097">
        <w:t> Ocorreu após um período de relativo alívio no final de 2020, levando ao relaxamento de medidas e aglomerações (festas de fim de ano e férias), facilitando a explosão da Gama.</w:t>
      </w:r>
    </w:p>
    <w:p w14:paraId="3EF2ACAF" w14:textId="0382D996" w:rsidR="000D7CB2" w:rsidRPr="000D7CB2" w:rsidRDefault="000D7CB2" w:rsidP="000D7CB2">
      <w:pPr>
        <w:rPr>
          <w:b/>
          <w:bCs/>
        </w:rPr>
      </w:pPr>
    </w:p>
    <w:p w14:paraId="3F229A4D" w14:textId="77777777" w:rsidR="00095097" w:rsidRPr="00095097" w:rsidRDefault="000D7CB2" w:rsidP="00095097">
      <w:pPr>
        <w:numPr>
          <w:ilvl w:val="0"/>
          <w:numId w:val="3"/>
        </w:numPr>
      </w:pPr>
      <w:r w:rsidRPr="000D7CB2">
        <w:rPr>
          <w:b/>
          <w:bCs/>
        </w:rPr>
        <w:t>3. Impacto das medidas de restrição:</w:t>
      </w:r>
      <w:r>
        <w:t xml:space="preserve"> </w:t>
      </w:r>
    </w:p>
    <w:p w14:paraId="2D8642EE" w14:textId="77777777" w:rsidR="00095097" w:rsidRPr="00095097" w:rsidRDefault="00095097" w:rsidP="00095097">
      <w:pPr>
        <w:numPr>
          <w:ilvl w:val="1"/>
          <w:numId w:val="3"/>
        </w:numPr>
        <w:jc w:val="both"/>
      </w:pPr>
      <w:r w:rsidRPr="00095097">
        <w:rPr>
          <w:b/>
          <w:bCs/>
        </w:rPr>
        <w:t>Efetividade Modesta e Heterogênea:</w:t>
      </w:r>
      <w:r w:rsidRPr="00095097">
        <w:t> Medidas como lockdowns e restrições severas à circulação comprovadamente reduziram a mobilidade e a transmissão </w:t>
      </w:r>
      <w:r w:rsidRPr="00095097">
        <w:rPr>
          <w:b/>
          <w:bCs/>
        </w:rPr>
        <w:t>no curto prazo</w:t>
      </w:r>
      <w:r w:rsidRPr="00095097">
        <w:t> em locais onde foram rigorosamente implementadas e fiscalizadas (exemplos: Araraquara/SP, algumas cidades do Nordeste). Porém, seu impacto foi limitado por:</w:t>
      </w:r>
    </w:p>
    <w:p w14:paraId="12C27ED4" w14:textId="77777777" w:rsidR="00095097" w:rsidRPr="00095097" w:rsidRDefault="00095097" w:rsidP="00095097">
      <w:pPr>
        <w:numPr>
          <w:ilvl w:val="2"/>
          <w:numId w:val="3"/>
        </w:numPr>
        <w:jc w:val="both"/>
      </w:pPr>
      <w:r w:rsidRPr="00095097">
        <w:rPr>
          <w:b/>
          <w:bCs/>
        </w:rPr>
        <w:t>Adesão Variável e Fadiga:</w:t>
      </w:r>
      <w:r w:rsidRPr="00095097">
        <w:t> Dificuldade em manter a adesão da população ao longo do tempo, especialmente em contextos de desigualdade social e necessidade de trabalhar.</w:t>
      </w:r>
    </w:p>
    <w:p w14:paraId="4A8840BD" w14:textId="77777777" w:rsidR="00095097" w:rsidRPr="00095097" w:rsidRDefault="00095097" w:rsidP="00095097">
      <w:pPr>
        <w:numPr>
          <w:ilvl w:val="2"/>
          <w:numId w:val="3"/>
        </w:numPr>
        <w:jc w:val="both"/>
      </w:pPr>
      <w:r w:rsidRPr="00095097">
        <w:rPr>
          <w:b/>
          <w:bCs/>
        </w:rPr>
        <w:t>Falta de Coordenação Nacional:</w:t>
      </w:r>
      <w:r w:rsidRPr="00095097">
        <w:t> Implementação descentralizada e descoordenada entre estados e municípios, com mensagens contraditórias do governo federal, minando a eficácia coletiva.</w:t>
      </w:r>
    </w:p>
    <w:p w14:paraId="68287590" w14:textId="77777777" w:rsidR="00095097" w:rsidRPr="00095097" w:rsidRDefault="00095097" w:rsidP="00095097">
      <w:pPr>
        <w:numPr>
          <w:ilvl w:val="2"/>
          <w:numId w:val="3"/>
        </w:numPr>
        <w:jc w:val="both"/>
      </w:pPr>
      <w:r w:rsidRPr="00095097">
        <w:rPr>
          <w:b/>
          <w:bCs/>
        </w:rPr>
        <w:t>Atraso na Implementação:</w:t>
      </w:r>
      <w:r w:rsidRPr="00095097">
        <w:t> Frequentemente aplicadas tardiamente, quando a transmissão comunitária já estava muito alta.</w:t>
      </w:r>
    </w:p>
    <w:p w14:paraId="73330C85" w14:textId="77777777" w:rsidR="00095097" w:rsidRPr="00095097" w:rsidRDefault="00095097" w:rsidP="00095097">
      <w:pPr>
        <w:numPr>
          <w:ilvl w:val="2"/>
          <w:numId w:val="3"/>
        </w:numPr>
        <w:jc w:val="both"/>
      </w:pPr>
      <w:r w:rsidRPr="00095097">
        <w:rPr>
          <w:b/>
          <w:bCs/>
        </w:rPr>
        <w:t>Efeito "Vazamento":</w:t>
      </w:r>
      <w:r w:rsidRPr="00095097">
        <w:t> Restrições locais eram contornadas pela movimentação entre cidades/estados sem medidas semelhantes.</w:t>
      </w:r>
    </w:p>
    <w:p w14:paraId="08744A26" w14:textId="77777777" w:rsidR="00095097" w:rsidRPr="00095097" w:rsidRDefault="00095097" w:rsidP="00095097">
      <w:pPr>
        <w:numPr>
          <w:ilvl w:val="1"/>
          <w:numId w:val="3"/>
        </w:numPr>
        <w:jc w:val="both"/>
      </w:pPr>
      <w:r w:rsidRPr="00095097">
        <w:rPr>
          <w:b/>
          <w:bCs/>
        </w:rPr>
        <w:t>Medidas Individuais e Não-Farmacológicas:</w:t>
      </w:r>
      <w:r w:rsidRPr="00095097">
        <w:t> O uso de máscaras (especialmente em ambientes fechados e aglomerados) e o distanciamento físico mostraram-se eficazes na redução da transmissão quando amplamente adotados.</w:t>
      </w:r>
    </w:p>
    <w:p w14:paraId="704D42C8" w14:textId="77777777" w:rsidR="00095097" w:rsidRDefault="00095097" w:rsidP="00095097">
      <w:pPr>
        <w:numPr>
          <w:ilvl w:val="1"/>
          <w:numId w:val="3"/>
        </w:numPr>
        <w:jc w:val="both"/>
      </w:pPr>
      <w:r w:rsidRPr="00095097">
        <w:rPr>
          <w:b/>
          <w:bCs/>
        </w:rPr>
        <w:t>Grande Divisor de Águas: A Vacinação:</w:t>
      </w:r>
      <w:r w:rsidRPr="00095097">
        <w:t> O impacto mais dramático e sustentado na redução de casos graves, hospitalizações e mortes veio com a campanha massiva de vacinação iniciada em 2021. As medidas restritivas foram cruciais para "achatar a curva" e evitar colapsos absolutos </w:t>
      </w:r>
      <w:r w:rsidRPr="00095097">
        <w:rPr>
          <w:b/>
          <w:bCs/>
        </w:rPr>
        <w:t>antes</w:t>
      </w:r>
      <w:r w:rsidRPr="00095097">
        <w:t> da vacina estar amplamente disponível, mas sua eficácia a longo prazo e sustentabilidade foram muito inferiores ao impacto da imunização.</w:t>
      </w:r>
    </w:p>
    <w:p w14:paraId="10C19FFC" w14:textId="77777777" w:rsidR="00095097" w:rsidRPr="00095097" w:rsidRDefault="00095097" w:rsidP="00095097">
      <w:pPr>
        <w:ind w:left="1440"/>
        <w:jc w:val="both"/>
      </w:pPr>
    </w:p>
    <w:p w14:paraId="5F07EE96" w14:textId="77777777" w:rsidR="00095097" w:rsidRPr="00095097" w:rsidRDefault="00095097" w:rsidP="00095097">
      <w:pPr>
        <w:rPr>
          <w:b/>
          <w:bCs/>
        </w:rPr>
      </w:pPr>
      <w:r w:rsidRPr="00095097">
        <w:rPr>
          <w:b/>
          <w:bCs/>
        </w:rPr>
        <w:t>Conclusão Geral</w:t>
      </w:r>
    </w:p>
    <w:p w14:paraId="4E58DB1D" w14:textId="77777777" w:rsidR="00095097" w:rsidRPr="00095097" w:rsidRDefault="00095097" w:rsidP="00095097">
      <w:pPr>
        <w:jc w:val="both"/>
      </w:pPr>
      <w:r w:rsidRPr="00095097">
        <w:t xml:space="preserve">A pandemia de COVID-19 no Brasil foi marcada por uma trágica combinação de fatores: padrão sazonal claro (com invernos devastadores), a emergência de variantes preocupantes (especialmente Gama e </w:t>
      </w:r>
      <w:proofErr w:type="spellStart"/>
      <w:r w:rsidRPr="00095097">
        <w:t>Ômicron</w:t>
      </w:r>
      <w:proofErr w:type="spellEnd"/>
      <w:r w:rsidRPr="00095097">
        <w:t>), um sistema de saúde frágil e sobrecarregado, subnotificação persistente, e uma resposta fragmentada e politizada. Enquanto medidas restritivas tiveram papel temporário e localizado no controle da transmissão, seu impacto foi limitado pela falta de coordenação, adesão e sustentabilidade. O verdadeiro ponto de virada foi a vacinação em massa, que, apesar dos atrasos iniciais e desafios logísticos, demonstrou ser a ferramenta mais eficaz para mitigar as consequências graves da doença. A experiência brasileira reforça a importância crucial da vigilância epidemiológica, da coordenação entre esferas de governo, da comunicação clara baseada em ciência, e, sobretudo, do investimento em imunização rápida e equitativa diante de uma pandemia respiratória.</w:t>
      </w:r>
    </w:p>
    <w:p w14:paraId="2E60AA49" w14:textId="77777777" w:rsidR="000D7CB2" w:rsidRDefault="000D7CB2" w:rsidP="000D7CB2"/>
    <w:p w14:paraId="4D717BE0" w14:textId="77777777" w:rsidR="000D7CB2" w:rsidRPr="000D7CB2" w:rsidRDefault="000D7CB2" w:rsidP="000D7CB2">
      <w:pPr>
        <w:rPr>
          <w:b/>
          <w:bCs/>
        </w:rPr>
      </w:pPr>
      <w:r w:rsidRPr="000D7CB2">
        <w:rPr>
          <w:b/>
          <w:bCs/>
        </w:rPr>
        <w:t>## Anexos</w:t>
      </w:r>
    </w:p>
    <w:p w14:paraId="15AA138C" w14:textId="77777777" w:rsidR="000D7CB2" w:rsidRDefault="000D7CB2" w:rsidP="000D7CB2">
      <w:r>
        <w:t>- [ ] dados_analise_mensal.csv</w:t>
      </w:r>
    </w:p>
    <w:p w14:paraId="2915D7B1" w14:textId="38BCAD2A" w:rsidR="000D7CB2" w:rsidRDefault="000D7CB2" w:rsidP="000D7CB2">
      <w:r>
        <w:t>- [ ] evolucao_casos.png</w:t>
      </w:r>
    </w:p>
    <w:sectPr w:rsidR="000D7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2BA5"/>
    <w:multiLevelType w:val="multilevel"/>
    <w:tmpl w:val="3CB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9A4AED"/>
    <w:multiLevelType w:val="multilevel"/>
    <w:tmpl w:val="3BA8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8D4FBB"/>
    <w:multiLevelType w:val="multilevel"/>
    <w:tmpl w:val="E26A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9909398">
    <w:abstractNumId w:val="1"/>
  </w:num>
  <w:num w:numId="2" w16cid:durableId="1878736118">
    <w:abstractNumId w:val="0"/>
  </w:num>
  <w:num w:numId="3" w16cid:durableId="16890170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B2"/>
    <w:rsid w:val="00095097"/>
    <w:rsid w:val="000D7CB2"/>
    <w:rsid w:val="000F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4CE8C"/>
  <w15:chartTrackingRefBased/>
  <w15:docId w15:val="{85B4EAFC-365B-40EC-A52A-CD59916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7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D7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D7C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D7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D7C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D7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D7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D7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D7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D7C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D7C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D7C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D7C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D7CB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D7C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D7CB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D7C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D7C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D7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D7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D7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D7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D7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D7CB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D7CB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D7CB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D7C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D7CB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D7C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756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3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4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4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0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913</Words>
  <Characters>4936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Daiana Turmena</dc:creator>
  <cp:keywords/>
  <dc:description/>
  <cp:lastModifiedBy>Daiana Turmena</cp:lastModifiedBy>
  <cp:revision>1</cp:revision>
  <dcterms:created xsi:type="dcterms:W3CDTF">2025-07-02T00:18:00Z</dcterms:created>
  <dcterms:modified xsi:type="dcterms:W3CDTF">2025-07-02T00:32:00Z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2025-07-02T00:32:36Z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7cc72614-c1d9-4269-91a1-50bd29f0a752</vt:lpwstr>
  </property>
  <property fmtid="{D5CDD505-2E9C-101B-9397-08002B2CF9AE}" pid="7" name="MSIP_Label_defa4170-0d19-0005-0004-bc88714345d2_ActionId">
    <vt:lpwstr>0a17c26a-2efd-4464-84d2-e95c68993366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