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F4E79"/>
          <w:sz w:val="48"/>
          <w:szCs w:val="48"/>
        </w:rPr>
        <w:t xml:space="preserve">ZAVA CORPORATION</w:t>
      </w:r>
    </w:p>
    <w:p>
      <w:pPr>
        <w:jc w:val="center"/>
      </w:pPr>
      <w:r>
        <w:rPr>
          <w:rFonts w:ascii="Arial" w:cs="Arial" w:eastAsia="Arial" w:hAnsi="Arial"/>
          <w:b/>
          <w:bCs/>
          <w:color w:val="2E75B6"/>
          <w:sz w:val="36"/>
          <w:szCs w:val="36"/>
        </w:rPr>
        <w:t xml:space="preserve">Internal Audit Report — FY2024</w:t>
      </w:r>
    </w:p>
    <w:p>
      <w:pPr>
        <w:spacing w:before="100" w:after="600"/>
        <w:jc w:val="center"/>
      </w:pPr>
      <w:r>
        <w:rPr>
          <w:rFonts w:ascii="Arial" w:cs="Arial" w:eastAsia="Arial" w:hAnsi="Arial"/>
          <w:b/>
          <w:bCs/>
          <w:color w:val="C00000"/>
          <w:sz w:val="22"/>
          <w:szCs w:val="22"/>
        </w:rPr>
        <w:t xml:space="preserve">CLASSIFICATION: CONFIDENTIAL — FINANCE AND EXECUTIVE ONLY</w:t>
      </w:r>
    </w:p>
    <w:p>
      <w:pPr>
        <w:pStyle w:val="Heading1"/>
        <w:shd w:fill="1F4E79" w:val="clear"/>
        <w:spacing w:before="400" w:after="200"/>
        <w:rPr>
          <w:rFonts w:ascii="Arial" w:cs="Arial" w:eastAsia="Arial" w:hAnsi="Arial"/>
          <w:b/>
          <w:bCs/>
          <w:color w:val="FFFFFF"/>
          <w:sz w:val="28"/>
          <w:szCs w:val="28"/>
        </w:rPr>
      </w:pPr>
      <w:r>
        <w:t xml:space="preserve">Executive Summary</w:t>
      </w:r>
    </w:p>
    <w:p>
      <w:pPr>
        <w:spacing w:before="100" w:after="100"/>
      </w:pPr>
      <w:r>
        <w:rPr>
          <w:rFonts w:ascii="Arial" w:cs="Arial" w:eastAsia="Arial" w:hAnsi="Arial"/>
          <w:sz w:val="20"/>
          <w:szCs w:val="20"/>
        </w:rPr>
        <w:t xml:space="preserve">This Internal Audit Report covers Zava Corporation's financial operations for the fiscal year ending 31 December 2024. The audit was conducted by the Internal Audit function in accordance with the International Standards for the Professional Practice of Internal Auditing (ISPPIA). Three findings were identified: one High, one Medium, and one Low risk.</w:t>
      </w:r>
    </w:p>
    <w:p>
      <w:pPr>
        <w:pStyle w:val="Heading1"/>
        <w:shd w:fill="1F4E79" w:val="clear"/>
        <w:spacing w:before="400" w:after="200"/>
        <w:rPr>
          <w:rFonts w:ascii="Arial" w:cs="Arial" w:eastAsia="Arial" w:hAnsi="Arial"/>
          <w:b/>
          <w:bCs/>
          <w:color w:val="FFFFFF"/>
          <w:sz w:val="28"/>
          <w:szCs w:val="28"/>
        </w:rPr>
      </w:pPr>
      <w:r>
        <w:t xml:space="preserve">Audit Scope and Methodology</w:t>
      </w:r>
    </w:p>
    <w:p>
      <w:pPr>
        <w:spacing w:before="100" w:after="100"/>
      </w:pPr>
      <w:r>
        <w:rPr>
          <w:rFonts w:ascii="Arial" w:cs="Arial" w:eastAsia="Arial" w:hAnsi="Arial"/>
          <w:sz w:val="20"/>
          <w:szCs w:val="20"/>
        </w:rPr>
        <w:t xml:space="preserve">The audit covered the following areas: accounts payable and receivable, payroll processing and controls, expense management and approval workflows, financial reporting and period-end close procedures, and AI agent access to financial data systems.</w:t>
      </w:r>
    </w:p>
    <w:p>
      <w:pPr>
        <w:pStyle w:val="Heading1"/>
        <w:shd w:fill="1F4E79" w:val="clear"/>
        <w:spacing w:before="400" w:after="200"/>
        <w:rPr>
          <w:rFonts w:ascii="Arial" w:cs="Arial" w:eastAsia="Arial" w:hAnsi="Arial"/>
          <w:b/>
          <w:bCs/>
          <w:color w:val="FFFFFF"/>
          <w:sz w:val="28"/>
          <w:szCs w:val="28"/>
        </w:rPr>
      </w:pPr>
      <w:r>
        <w:t xml:space="preserve">Key Findings</w:t>
      </w:r>
    </w:p>
    <w:p>
      <w:pPr>
        <w:pStyle w:val="Heading2"/>
        <w:spacing w:before="300" w:after="150"/>
      </w:pPr>
      <w:r>
        <w:t xml:space="preserve">Finding 1 — HIGH: Unsegregated Access to Payroll and Finance Systems</w:t>
      </w:r>
      <w:r>
        <w:rPr>
          <w:rFonts w:ascii="Arial" w:cs="Arial" w:eastAsia="Arial" w:hAnsi="Arial"/>
          <w:b/>
          <w:bCs/>
          <w:color w:val="1F4E79"/>
          <w:sz w:val="24"/>
          <w:szCs w:val="24"/>
        </w:rPr>
        <w:t xml:space="preserve">Finding 1 — HIGH: Unsegregated Access to Payroll and Finance Systems</w:t>
      </w:r>
    </w:p>
    <w:p>
      <w:pPr>
        <w:spacing w:before="100" w:after="100"/>
      </w:pPr>
      <w:r>
        <w:rPr>
          <w:rFonts w:ascii="Arial" w:cs="Arial" w:eastAsia="Arial" w:hAnsi="Arial"/>
          <w:sz w:val="20"/>
          <w:szCs w:val="20"/>
        </w:rPr>
        <w:t xml:space="preserve">Several Finance team members hold both payroll processing rights and financial reporting rights within the same system profile. This creates a risk of unauthorised payroll manipulation without detection. Immediate remediation is required.</w:t>
      </w:r>
    </w:p>
    <w:p>
      <w:pPr>
        <w:spacing w:before="100" w:after="100"/>
      </w:pPr>
      <w:r>
        <w:rPr>
          <w:rFonts w:ascii="Arial" w:cs="Arial" w:eastAsia="Arial" w:hAnsi="Arial"/>
          <w:sz w:val="20"/>
          <w:szCs w:val="20"/>
        </w:rPr>
        <w:t xml:space="preserve">Recommendation: Implement role-based access segregation. Payroll processing rights and financial reporting rights must not coexist in the same user profile. Remediation due: Q1 2025.</w:t>
      </w:r>
    </w:p>
    <w:p>
      <w:pPr>
        <w:pStyle w:val="Heading2"/>
        <w:spacing w:before="300" w:after="150"/>
      </w:pPr>
      <w:r>
        <w:t xml:space="preserve">Finding 2 — MEDIUM: Expense Report Approval Controls</w:t>
      </w:r>
      <w:r>
        <w:rPr>
          <w:rFonts w:ascii="Arial" w:cs="Arial" w:eastAsia="Arial" w:hAnsi="Arial"/>
          <w:b/>
          <w:bCs/>
          <w:color w:val="1F4E79"/>
          <w:sz w:val="24"/>
          <w:szCs w:val="24"/>
        </w:rPr>
        <w:t xml:space="preserve">Finding 2 — MEDIUM: Expense Report Approval Controls</w:t>
      </w:r>
    </w:p>
    <w:p>
      <w:pPr>
        <w:spacing w:before="100" w:after="100"/>
      </w:pPr>
      <w:r>
        <w:rPr>
          <w:rFonts w:ascii="Arial" w:cs="Arial" w:eastAsia="Arial" w:hAnsi="Arial"/>
          <w:sz w:val="20"/>
          <w:szCs w:val="20"/>
        </w:rPr>
        <w:t xml:space="preserve">A review of 180 expense claims submitted in FY2024 identified that 23 claims (12.8%) were self-approved or approved by a peer rather than the employee's direct line manager. Three claims, including those submitted by ZVA100023 (Alex Wilber), were approved outside the standard approval chain.</w:t>
      </w:r>
    </w:p>
    <w:p>
      <w:pPr>
        <w:spacing w:before="100" w:after="100"/>
      </w:pPr>
      <w:r>
        <w:rPr>
          <w:rFonts w:ascii="Arial" w:cs="Arial" w:eastAsia="Arial" w:hAnsi="Arial"/>
          <w:sz w:val="20"/>
          <w:szCs w:val="20"/>
        </w:rPr>
        <w:t xml:space="preserve">Recommendation: Configure the expense management system to enforce mandatory line manager approval routing. Expenses above £500 require Finance Director co-approval. Remediation due: Q2 2025.</w:t>
      </w:r>
    </w:p>
    <w:p>
      <w:pPr>
        <w:pStyle w:val="Heading2"/>
        <w:spacing w:before="300" w:after="150"/>
      </w:pPr>
      <w:r>
        <w:t xml:space="preserve">Finding 3 — LOW: AI Agent Data Access Logging</w:t>
      </w:r>
      <w:r>
        <w:rPr>
          <w:rFonts w:ascii="Arial" w:cs="Arial" w:eastAsia="Arial" w:hAnsi="Arial"/>
          <w:b/>
          <w:bCs/>
          <w:color w:val="1F4E79"/>
          <w:sz w:val="24"/>
          <w:szCs w:val="24"/>
        </w:rPr>
        <w:t xml:space="preserve">Finding 3 — LOW: AI Agent Data Access Logging</w:t>
      </w:r>
    </w:p>
    <w:p>
      <w:pPr>
        <w:spacing w:before="100" w:after="100"/>
      </w:pPr>
      <w:r>
        <w:rPr>
          <w:rFonts w:ascii="Arial" w:cs="Arial" w:eastAsia="Arial" w:hAnsi="Arial"/>
          <w:sz w:val="20"/>
          <w:szCs w:val="20"/>
        </w:rPr>
        <w:t xml:space="preserve">The Zava Finance Agent does not currently generate dedicated audit logs of which financial documents it retrieves in response to user queries. While Microsoft Purview Audit logs do capture underlying SharePoint access events, there is no agent-level query log linking a user's conversational question to the specific documents retrieved. This creates a gap in the audit trail for AI-mediated data access.</w:t>
      </w:r>
    </w:p>
    <w:p>
      <w:pPr>
        <w:spacing w:before="100" w:after="100"/>
      </w:pPr>
      <w:r>
        <w:rPr>
          <w:rFonts w:ascii="Arial" w:cs="Arial" w:eastAsia="Arial" w:hAnsi="Arial"/>
          <w:sz w:val="20"/>
          <w:szCs w:val="20"/>
        </w:rPr>
        <w:t xml:space="preserve">Recommendation: Implement agent-level query logging via Microsoft Sentinel once the Sentinel observability capability is deployed (scheduled Q2 2025 per IT Security roadmap).</w:t>
      </w:r>
    </w:p>
    <w:p>
      <w:pPr>
        <w:pStyle w:val="Heading1"/>
        <w:shd w:fill="1F4E79" w:val="clear"/>
        <w:spacing w:before="400" w:after="200"/>
        <w:rPr>
          <w:rFonts w:ascii="Arial" w:cs="Arial" w:eastAsia="Arial" w:hAnsi="Arial"/>
          <w:b/>
          <w:bCs/>
          <w:color w:val="FFFFFF"/>
          <w:sz w:val="28"/>
          <w:szCs w:val="28"/>
        </w:rPr>
      </w:pPr>
      <w:r>
        <w:t xml:space="preserve">Management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1F4E79" w:val="clear"/>
          </w:tcPr>
          <w:p>
            <w:pPr>
              <w:jc w:val="center"/>
            </w:pPr>
            <w:r>
              <w:rPr>
                <w:rFonts w:ascii="Arial" w:cs="Arial" w:eastAsia="Arial" w:hAnsi="Arial"/>
                <w:b/>
                <w:bCs/>
                <w:color w:val="FFFFFF"/>
                <w:sz w:val="18"/>
                <w:szCs w:val="18"/>
              </w:rPr>
              <w:t xml:space="preserve">Finding</w:t>
            </w:r>
          </w:p>
        </w:tc>
        <w:tc>
          <w:tcPr>
            <w:shd w:fill="1F4E79" w:val="clear"/>
          </w:tcPr>
          <w:p>
            <w:pPr>
              <w:jc w:val="center"/>
            </w:pPr>
            <w:r>
              <w:rPr>
                <w:rFonts w:ascii="Arial" w:cs="Arial" w:eastAsia="Arial" w:hAnsi="Arial"/>
                <w:b/>
                <w:bCs/>
                <w:color w:val="FFFFFF"/>
                <w:sz w:val="18"/>
                <w:szCs w:val="18"/>
              </w:rPr>
              <w:t xml:space="preserve">Risk</w:t>
            </w:r>
          </w:p>
        </w:tc>
        <w:tc>
          <w:tcPr>
            <w:shd w:fill="1F4E79" w:val="clear"/>
          </w:tcPr>
          <w:p>
            <w:pPr>
              <w:jc w:val="center"/>
            </w:pPr>
            <w:r>
              <w:rPr>
                <w:rFonts w:ascii="Arial" w:cs="Arial" w:eastAsia="Arial" w:hAnsi="Arial"/>
                <w:b/>
                <w:bCs/>
                <w:color w:val="FFFFFF"/>
                <w:sz w:val="18"/>
                <w:szCs w:val="18"/>
              </w:rPr>
              <w:t xml:space="preserve">Management Action</w:t>
            </w:r>
          </w:p>
        </w:tc>
        <w:tc>
          <w:tcPr>
            <w:shd w:fill="1F4E79" w:val="clear"/>
          </w:tcPr>
          <w:p>
            <w:pPr>
              <w:jc w:val="center"/>
            </w:pPr>
            <w:r>
              <w:rPr>
                <w:rFonts w:ascii="Arial" w:cs="Arial" w:eastAsia="Arial" w:hAnsi="Arial"/>
                <w:b/>
                <w:bCs/>
                <w:color w:val="FFFFFF"/>
                <w:sz w:val="18"/>
                <w:szCs w:val="18"/>
              </w:rPr>
              <w:t xml:space="preserve">Owner</w:t>
            </w:r>
          </w:p>
        </w:tc>
        <w:tc>
          <w:tcPr>
            <w:shd w:fill="1F4E79" w:val="clear"/>
          </w:tcPr>
          <w:p>
            <w:pPr>
              <w:jc w:val="center"/>
            </w:pPr>
            <w:r>
              <w:rPr>
                <w:rFonts w:ascii="Arial" w:cs="Arial" w:eastAsia="Arial" w:hAnsi="Arial"/>
                <w:b/>
                <w:bCs/>
                <w:color w:val="FFFFFF"/>
                <w:sz w:val="18"/>
                <w:szCs w:val="18"/>
              </w:rPr>
              <w:t xml:space="preserve">Target Date</w:t>
            </w:r>
          </w:p>
        </w:tc>
      </w:tr>
      <w:tr>
        <w:tc>
          <w:p>
            <w:pPr>
              <w:spacing w:before="60" w:after="60"/>
            </w:pPr>
            <w:r>
              <w:rPr>
                <w:rFonts w:ascii="Arial" w:cs="Arial" w:eastAsia="Arial" w:hAnsi="Arial"/>
                <w:sz w:val="18"/>
                <w:szCs w:val="18"/>
              </w:rPr>
              <w:t xml:space="preserve">Payroll access segregation</w:t>
            </w:r>
          </w:p>
        </w:tc>
        <w:tc>
          <w:p>
            <w:pPr>
              <w:spacing w:before="60" w:after="60"/>
            </w:pPr>
            <w:r>
              <w:rPr>
                <w:rFonts w:ascii="Arial" w:cs="Arial" w:eastAsia="Arial" w:hAnsi="Arial"/>
                <w:sz w:val="18"/>
                <w:szCs w:val="18"/>
              </w:rPr>
              <w:t xml:space="preserve">HIGH</w:t>
            </w:r>
          </w:p>
        </w:tc>
        <w:tc>
          <w:p>
            <w:pPr>
              <w:spacing w:before="60" w:after="60"/>
            </w:pPr>
            <w:r>
              <w:rPr>
                <w:rFonts w:ascii="Arial" w:cs="Arial" w:eastAsia="Arial" w:hAnsi="Arial"/>
                <w:sz w:val="18"/>
                <w:szCs w:val="18"/>
              </w:rPr>
              <w:t xml:space="preserve">Implement role segregation in Finance system</w:t>
            </w:r>
          </w:p>
        </w:tc>
        <w:tc>
          <w:p>
            <w:pPr>
              <w:spacing w:before="60" w:after="60"/>
            </w:pPr>
            <w:r>
              <w:rPr>
                <w:rFonts w:ascii="Arial" w:cs="Arial" w:eastAsia="Arial" w:hAnsi="Arial"/>
                <w:sz w:val="18"/>
                <w:szCs w:val="18"/>
              </w:rPr>
              <w:t xml:space="preserve">Megan Bowen</w:t>
            </w:r>
          </w:p>
        </w:tc>
        <w:tc>
          <w:p>
            <w:pPr>
              <w:spacing w:before="60" w:after="60"/>
            </w:pPr>
            <w:r>
              <w:rPr>
                <w:rFonts w:ascii="Arial" w:cs="Arial" w:eastAsia="Arial" w:hAnsi="Arial"/>
                <w:sz w:val="18"/>
                <w:szCs w:val="18"/>
              </w:rPr>
              <w:t xml:space="preserve">Mar 2025</w:t>
            </w:r>
          </w:p>
        </w:tc>
      </w:tr>
      <w:tr>
        <w:tc>
          <w:tcPr>
            <w:shd w:fill="D6E4F0" w:val="clear"/>
          </w:tcPr>
          <w:p>
            <w:pPr>
              <w:spacing w:before="60" w:after="60"/>
            </w:pPr>
            <w:r>
              <w:rPr>
                <w:rFonts w:ascii="Arial" w:cs="Arial" w:eastAsia="Arial" w:hAnsi="Arial"/>
                <w:sz w:val="18"/>
                <w:szCs w:val="18"/>
              </w:rPr>
              <w:t xml:space="preserve">Expense approval controls</w:t>
            </w:r>
          </w:p>
        </w:tc>
        <w:tc>
          <w:tcPr>
            <w:shd w:fill="D6E4F0" w:val="clear"/>
          </w:tcPr>
          <w:p>
            <w:pPr>
              <w:spacing w:before="60" w:after="60"/>
            </w:pPr>
            <w:r>
              <w:rPr>
                <w:rFonts w:ascii="Arial" w:cs="Arial" w:eastAsia="Arial" w:hAnsi="Arial"/>
                <w:sz w:val="18"/>
                <w:szCs w:val="18"/>
              </w:rPr>
              <w:t xml:space="preserve">MEDIUM</w:t>
            </w:r>
          </w:p>
        </w:tc>
        <w:tc>
          <w:tcPr>
            <w:shd w:fill="D6E4F0" w:val="clear"/>
          </w:tcPr>
          <w:p>
            <w:pPr>
              <w:spacing w:before="60" w:after="60"/>
            </w:pPr>
            <w:r>
              <w:rPr>
                <w:rFonts w:ascii="Arial" w:cs="Arial" w:eastAsia="Arial" w:hAnsi="Arial"/>
                <w:sz w:val="18"/>
                <w:szCs w:val="18"/>
              </w:rPr>
              <w:t xml:space="preserve">Reconfigure approval routing in expense platform</w:t>
            </w:r>
          </w:p>
        </w:tc>
        <w:tc>
          <w:tcPr>
            <w:shd w:fill="D6E4F0" w:val="clear"/>
          </w:tcPr>
          <w:p>
            <w:pPr>
              <w:spacing w:before="60" w:after="60"/>
            </w:pPr>
            <w:r>
              <w:rPr>
                <w:rFonts w:ascii="Arial" w:cs="Arial" w:eastAsia="Arial" w:hAnsi="Arial"/>
                <w:sz w:val="18"/>
                <w:szCs w:val="18"/>
              </w:rPr>
              <w:t xml:space="preserve">Megan Bowen</w:t>
            </w:r>
          </w:p>
        </w:tc>
        <w:tc>
          <w:tcPr>
            <w:shd w:fill="D6E4F0" w:val="clear"/>
          </w:tcPr>
          <w:p>
            <w:pPr>
              <w:spacing w:before="60" w:after="60"/>
            </w:pPr>
            <w:r>
              <w:rPr>
                <w:rFonts w:ascii="Arial" w:cs="Arial" w:eastAsia="Arial" w:hAnsi="Arial"/>
                <w:sz w:val="18"/>
                <w:szCs w:val="18"/>
              </w:rPr>
              <w:t xml:space="preserve">Jun 2025</w:t>
            </w:r>
          </w:p>
        </w:tc>
      </w:tr>
      <w:tr>
        <w:tc>
          <w:p>
            <w:pPr>
              <w:spacing w:before="60" w:after="60"/>
            </w:pPr>
            <w:r>
              <w:rPr>
                <w:rFonts w:ascii="Arial" w:cs="Arial" w:eastAsia="Arial" w:hAnsi="Arial"/>
                <w:sz w:val="18"/>
                <w:szCs w:val="18"/>
              </w:rPr>
              <w:t xml:space="preserve">AI agent audit logging</w:t>
            </w:r>
          </w:p>
        </w:tc>
        <w:tc>
          <w:p>
            <w:pPr>
              <w:spacing w:before="60" w:after="60"/>
            </w:pPr>
            <w:r>
              <w:rPr>
                <w:rFonts w:ascii="Arial" w:cs="Arial" w:eastAsia="Arial" w:hAnsi="Arial"/>
                <w:sz w:val="18"/>
                <w:szCs w:val="18"/>
              </w:rPr>
              <w:t xml:space="preserve">LOW</w:t>
            </w:r>
          </w:p>
        </w:tc>
        <w:tc>
          <w:p>
            <w:pPr>
              <w:spacing w:before="60" w:after="60"/>
            </w:pPr>
            <w:r>
              <w:rPr>
                <w:rFonts w:ascii="Arial" w:cs="Arial" w:eastAsia="Arial" w:hAnsi="Arial"/>
                <w:sz w:val="18"/>
                <w:szCs w:val="18"/>
              </w:rPr>
              <w:t xml:space="preserve">Deploy Sentinel observability — agent query logs</w:t>
            </w:r>
          </w:p>
        </w:tc>
        <w:tc>
          <w:p>
            <w:pPr>
              <w:spacing w:before="60" w:after="60"/>
            </w:pPr>
            <w:r>
              <w:rPr>
                <w:rFonts w:ascii="Arial" w:cs="Arial" w:eastAsia="Arial" w:hAnsi="Arial"/>
                <w:sz w:val="18"/>
                <w:szCs w:val="18"/>
              </w:rPr>
              <w:t xml:space="preserve">Patti Fernandez</w:t>
            </w:r>
          </w:p>
        </w:tc>
        <w:tc>
          <w:p>
            <w:pPr>
              <w:spacing w:before="60" w:after="60"/>
            </w:pPr>
            <w:r>
              <w:rPr>
                <w:rFonts w:ascii="Arial" w:cs="Arial" w:eastAsia="Arial" w:hAnsi="Arial"/>
                <w:sz w:val="18"/>
                <w:szCs w:val="18"/>
              </w:rPr>
              <w:t xml:space="preserve">Jun 2025</w:t>
            </w:r>
          </w:p>
        </w:tc>
      </w:tr>
    </w:tbl>
    <w:p>
      <w:pPr>
        <w:pStyle w:val="Heading1"/>
        <w:shd w:fill="1F4E79" w:val="clear"/>
        <w:spacing w:before="400" w:after="200"/>
        <w:rPr>
          <w:rFonts w:ascii="Arial" w:cs="Arial" w:eastAsia="Arial" w:hAnsi="Arial"/>
          <w:b/>
          <w:bCs/>
          <w:color w:val="FFFFFF"/>
          <w:sz w:val="28"/>
          <w:szCs w:val="28"/>
        </w:rPr>
      </w:pPr>
      <w:r>
        <w:t xml:space="preserve">Report Sign-Off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spacing w:before="60" w:after="60"/>
            </w:pPr>
            <w:r>
              <w:rPr>
                <w:rFonts w:ascii="Arial" w:cs="Arial" w:eastAsia="Arial" w:hAnsi="Arial"/>
                <w:sz w:val="18"/>
                <w:szCs w:val="18"/>
              </w:rPr>
              <w:t xml:space="preserve">Prepared by:</w:t>
            </w:r>
          </w:p>
        </w:tc>
        <w:tc>
          <w:p>
            <w:pPr>
              <w:spacing w:before="60" w:after="60"/>
            </w:pPr>
            <w:r>
              <w:rPr>
                <w:rFonts w:ascii="Arial" w:cs="Arial" w:eastAsia="Arial" w:hAnsi="Arial"/>
                <w:sz w:val="18"/>
                <w:szCs w:val="18"/>
              </w:rPr>
              <w:t xml:space="preserve">Internal Audit Function</w:t>
            </w:r>
          </w:p>
        </w:tc>
      </w:tr>
      <w:tr>
        <w:tc>
          <w:tcPr>
            <w:shd w:fill="D6E4F0" w:val="clear"/>
          </w:tcPr>
          <w:p>
            <w:pPr>
              <w:spacing w:before="60" w:after="60"/>
            </w:pPr>
            <w:r>
              <w:rPr>
                <w:rFonts w:ascii="Arial" w:cs="Arial" w:eastAsia="Arial" w:hAnsi="Arial"/>
                <w:sz w:val="18"/>
                <w:szCs w:val="18"/>
              </w:rPr>
              <w:t xml:space="preserve">Reviewed by:</w:t>
            </w:r>
          </w:p>
        </w:tc>
        <w:tc>
          <w:tcPr>
            <w:shd w:fill="D6E4F0" w:val="clear"/>
          </w:tcPr>
          <w:p>
            <w:pPr>
              <w:spacing w:before="60" w:after="60"/>
            </w:pPr>
            <w:r>
              <w:rPr>
                <w:rFonts w:ascii="Arial" w:cs="Arial" w:eastAsia="Arial" w:hAnsi="Arial"/>
                <w:sz w:val="18"/>
                <w:szCs w:val="18"/>
              </w:rPr>
              <w:t xml:space="preserve">Megan Bowen, CFO</w:t>
            </w:r>
          </w:p>
        </w:tc>
      </w:tr>
      <w:tr>
        <w:tc>
          <w:p>
            <w:pPr>
              <w:spacing w:before="60" w:after="60"/>
            </w:pPr>
            <w:r>
              <w:rPr>
                <w:rFonts w:ascii="Arial" w:cs="Arial" w:eastAsia="Arial" w:hAnsi="Arial"/>
                <w:sz w:val="18"/>
                <w:szCs w:val="18"/>
              </w:rPr>
              <w:t xml:space="preserve">Approved by:</w:t>
            </w:r>
          </w:p>
        </w:tc>
        <w:tc>
          <w:p>
            <w:pPr>
              <w:spacing w:before="60" w:after="60"/>
            </w:pPr>
            <w:r>
              <w:rPr>
                <w:rFonts w:ascii="Arial" w:cs="Arial" w:eastAsia="Arial" w:hAnsi="Arial"/>
                <w:sz w:val="18"/>
                <w:szCs w:val="18"/>
              </w:rPr>
              <w:t xml:space="preserve">MOD Administrator, CEO</w:t>
            </w:r>
          </w:p>
        </w:tc>
      </w:tr>
      <w:tr>
        <w:tc>
          <w:tcPr>
            <w:shd w:fill="D6E4F0" w:val="clear"/>
          </w:tcPr>
          <w:p>
            <w:pPr>
              <w:spacing w:before="60" w:after="60"/>
            </w:pPr>
            <w:r>
              <w:rPr>
                <w:rFonts w:ascii="Arial" w:cs="Arial" w:eastAsia="Arial" w:hAnsi="Arial"/>
                <w:sz w:val="18"/>
                <w:szCs w:val="18"/>
              </w:rPr>
              <w:t xml:space="preserve">Date issued:</w:t>
            </w:r>
          </w:p>
        </w:tc>
        <w:tc>
          <w:tcPr>
            <w:shd w:fill="D6E4F0" w:val="clear"/>
          </w:tcPr>
          <w:p>
            <w:pPr>
              <w:spacing w:before="60" w:after="60"/>
            </w:pPr>
            <w:r>
              <w:rPr>
                <w:rFonts w:ascii="Arial" w:cs="Arial" w:eastAsia="Arial" w:hAnsi="Arial"/>
                <w:sz w:val="18"/>
                <w:szCs w:val="18"/>
              </w:rPr>
              <w:t xml:space="preserve">15 January 2025</w:t>
            </w:r>
          </w:p>
        </w:tc>
      </w:tr>
      <w:tr>
        <w:tc>
          <w:p>
            <w:pPr>
              <w:spacing w:before="60" w:after="60"/>
            </w:pPr>
            <w:r>
              <w:rPr>
                <w:rFonts w:ascii="Arial" w:cs="Arial" w:eastAsia="Arial" w:hAnsi="Arial"/>
                <w:sz w:val="18"/>
                <w:szCs w:val="18"/>
              </w:rPr>
              <w:t xml:space="preserve">Classification:</w:t>
            </w:r>
          </w:p>
        </w:tc>
        <w:tc>
          <w:p>
            <w:pPr>
              <w:spacing w:before="60" w:after="60"/>
            </w:pPr>
            <w:r>
              <w:rPr>
                <w:rFonts w:ascii="Arial" w:cs="Arial" w:eastAsia="Arial" w:hAnsi="Arial"/>
                <w:sz w:val="18"/>
                <w:szCs w:val="18"/>
              </w:rPr>
              <w:t xml:space="preserve">CONFIDENTIAL — Finance and Executive only</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Zava Corporation | Internal Document |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F4E79"/>
        <w:sz w:val="16"/>
        <w:szCs w:val="16"/>
      </w:rPr>
      <w:t xml:space="preserve">ZAVA CORPORATION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2026-03-05T09:57:48.753Z</dcterms:created>
  <dcterms:modified xsi:type="dcterms:W3CDTF">2026-03-05T09:57:48.753Z</dcterms:modified>
</cp:coreProperties>
</file>

<file path=docProps/custom.xml><?xml version="1.0" encoding="utf-8"?>
<Properties xmlns="http://schemas.openxmlformats.org/officeDocument/2006/custom-properties" xmlns:vt="http://schemas.openxmlformats.org/officeDocument/2006/docPropsVTypes"/>
</file>