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4D3953" w14:textId="77777777" w:rsidR="00DD2B04" w:rsidRPr="00E63667" w:rsidRDefault="00DD2B04" w:rsidP="0093385A">
      <w:pPr>
        <w:spacing w:line="276" w:lineRule="auto"/>
        <w:jc w:val="center"/>
        <w:rPr>
          <w:rFonts w:eastAsia="ＭＳ ゴシック"/>
          <w:b/>
          <w:sz w:val="26"/>
          <w:szCs w:val="26"/>
        </w:rPr>
      </w:pPr>
      <w:r w:rsidRPr="00E63667">
        <w:rPr>
          <w:rFonts w:eastAsia="ＭＳ ゴシック" w:hint="eastAsia"/>
          <w:b/>
          <w:sz w:val="26"/>
          <w:szCs w:val="26"/>
        </w:rPr>
        <w:t>炉物理パラメータ不確かさ評価における</w:t>
      </w:r>
    </w:p>
    <w:p w14:paraId="65D6D937" w14:textId="3790F3A4" w:rsidR="00DD2B04" w:rsidRPr="00E63667" w:rsidRDefault="00DD2B04" w:rsidP="0093385A">
      <w:pPr>
        <w:spacing w:line="276" w:lineRule="auto"/>
        <w:jc w:val="center"/>
        <w:rPr>
          <w:rFonts w:eastAsia="ＭＳ ゴシック"/>
          <w:b/>
          <w:sz w:val="26"/>
          <w:szCs w:val="26"/>
        </w:rPr>
      </w:pPr>
      <w:r w:rsidRPr="00E63667">
        <w:rPr>
          <w:rFonts w:eastAsia="ＭＳ ゴシック" w:hint="eastAsia"/>
          <w:b/>
          <w:sz w:val="26"/>
          <w:szCs w:val="26"/>
        </w:rPr>
        <w:t>複数の模擬パラメータを活用した</w:t>
      </w:r>
      <w:r w:rsidRPr="00E63667">
        <w:rPr>
          <w:rFonts w:eastAsia="ＭＳ ゴシック"/>
          <w:b/>
          <w:sz w:val="26"/>
          <w:szCs w:val="26"/>
        </w:rPr>
        <w:t>無次元化</w:t>
      </w:r>
      <w:r w:rsidRPr="00E63667">
        <w:rPr>
          <w:rFonts w:eastAsia="ＭＳ ゴシック"/>
          <w:b/>
          <w:sz w:val="26"/>
          <w:szCs w:val="26"/>
        </w:rPr>
        <w:t>CV-S</w:t>
      </w:r>
      <w:r w:rsidRPr="00E63667">
        <w:rPr>
          <w:rFonts w:eastAsia="ＭＳ ゴシック" w:hint="eastAsia"/>
          <w:b/>
          <w:sz w:val="26"/>
          <w:szCs w:val="26"/>
        </w:rPr>
        <w:t>法</w:t>
      </w:r>
    </w:p>
    <w:p w14:paraId="496919EE" w14:textId="4CD8CE1E" w:rsidR="00D408CD" w:rsidRDefault="00D408CD" w:rsidP="00DD2B04">
      <w:pPr>
        <w:wordWrap w:val="0"/>
        <w:jc w:val="right"/>
      </w:pPr>
      <w:r w:rsidRPr="00D408CD">
        <w:t xml:space="preserve">原子炉工学研究室　</w:t>
      </w:r>
      <w:r w:rsidR="00DD2B04">
        <w:rPr>
          <w:rFonts w:hint="eastAsia"/>
        </w:rPr>
        <w:t>鷹見　大地</w:t>
      </w:r>
    </w:p>
    <w:p w14:paraId="5339208C" w14:textId="77777777" w:rsidR="00A807A2" w:rsidRPr="00D408CD" w:rsidRDefault="00A807A2" w:rsidP="00D408CD">
      <w:pPr>
        <w:jc w:val="right"/>
      </w:pPr>
    </w:p>
    <w:p w14:paraId="6466826F" w14:textId="0B17940B" w:rsidR="009D0E3F" w:rsidRPr="009D0E3F" w:rsidRDefault="009D0E3F" w:rsidP="00196379">
      <w:pPr>
        <w:rPr>
          <w:sz w:val="20"/>
          <w:szCs w:val="20"/>
        </w:rPr>
      </w:pPr>
      <w:r>
        <w:rPr>
          <w:rFonts w:eastAsia="ＭＳ ゴシック"/>
          <w:b/>
          <w:sz w:val="20"/>
          <w:szCs w:val="20"/>
        </w:rPr>
        <w:t>1</w:t>
      </w:r>
      <w:r w:rsidRPr="00D408CD">
        <w:rPr>
          <w:rFonts w:eastAsia="ＭＳ ゴシック"/>
          <w:b/>
          <w:sz w:val="20"/>
          <w:szCs w:val="20"/>
        </w:rPr>
        <w:t xml:space="preserve">. </w:t>
      </w:r>
      <w:r>
        <w:rPr>
          <w:rFonts w:eastAsia="ＭＳ ゴシック" w:hint="eastAsia"/>
          <w:b/>
          <w:sz w:val="20"/>
          <w:szCs w:val="20"/>
        </w:rPr>
        <w:t>研究背景</w:t>
      </w:r>
      <w:r w:rsidR="007052A0">
        <w:rPr>
          <w:rStyle w:val="a7"/>
          <w:rFonts w:hint="eastAsia"/>
        </w:rPr>
        <w:t xml:space="preserve">　工</w:t>
      </w:r>
      <w:r w:rsidR="00DD2B04" w:rsidRPr="009D0E3F">
        <w:rPr>
          <w:rFonts w:hint="eastAsia"/>
          <w:sz w:val="20"/>
          <w:szCs w:val="20"/>
        </w:rPr>
        <w:t>学の分野において、数値計算によってシステムの特性値・パラメータを予測することが一般的に行われている。</w:t>
      </w:r>
      <w:r w:rsidR="00F111B0">
        <w:rPr>
          <w:rFonts w:hint="eastAsia"/>
          <w:sz w:val="20"/>
          <w:szCs w:val="20"/>
        </w:rPr>
        <w:t>特に</w:t>
      </w:r>
      <w:r w:rsidR="00DD2B04" w:rsidRPr="009D0E3F">
        <w:rPr>
          <w:rFonts w:hint="eastAsia"/>
          <w:sz w:val="20"/>
          <w:szCs w:val="20"/>
        </w:rPr>
        <w:t>原子炉物理の分野</w:t>
      </w:r>
      <w:r w:rsidR="00F111B0">
        <w:rPr>
          <w:rFonts w:hint="eastAsia"/>
          <w:sz w:val="20"/>
          <w:szCs w:val="20"/>
        </w:rPr>
        <w:t>では</w:t>
      </w:r>
      <w:r w:rsidR="00DD2B04" w:rsidRPr="009D0E3F">
        <w:rPr>
          <w:rFonts w:hint="eastAsia"/>
          <w:sz w:val="20"/>
          <w:szCs w:val="20"/>
        </w:rPr>
        <w:t>、この予測値に内包される不確かさを定量化することに関する研究が、この</w:t>
      </w:r>
      <w:r w:rsidR="00DD2B04" w:rsidRPr="009D0E3F">
        <w:rPr>
          <w:rFonts w:hint="eastAsia"/>
          <w:sz w:val="20"/>
          <w:szCs w:val="20"/>
        </w:rPr>
        <w:t>10</w:t>
      </w:r>
      <w:r w:rsidR="00DD2B04" w:rsidRPr="009D0E3F">
        <w:rPr>
          <w:rFonts w:hint="eastAsia"/>
          <w:sz w:val="20"/>
          <w:szCs w:val="20"/>
        </w:rPr>
        <w:t>年間、活発に行われて</w:t>
      </w:r>
      <w:r w:rsidR="00E63667">
        <w:rPr>
          <w:rFonts w:hint="eastAsia"/>
          <w:sz w:val="20"/>
          <w:szCs w:val="20"/>
        </w:rPr>
        <w:t>きた</w:t>
      </w:r>
      <w:r w:rsidR="00DD2B04" w:rsidRPr="009D0E3F">
        <w:rPr>
          <w:rFonts w:hint="eastAsia"/>
          <w:sz w:val="20"/>
          <w:szCs w:val="20"/>
        </w:rPr>
        <w:t>。炉物理分野に</w:t>
      </w:r>
      <w:r w:rsidR="00E63667">
        <w:rPr>
          <w:rFonts w:hint="eastAsia"/>
          <w:sz w:val="20"/>
          <w:szCs w:val="20"/>
        </w:rPr>
        <w:t>おける</w:t>
      </w:r>
      <w:r w:rsidR="00DD2B04" w:rsidRPr="009D0E3F">
        <w:rPr>
          <w:rFonts w:hint="eastAsia"/>
          <w:sz w:val="20"/>
          <w:szCs w:val="20"/>
        </w:rPr>
        <w:t>予測</w:t>
      </w:r>
      <w:r w:rsidR="00CB6B13">
        <w:rPr>
          <w:rFonts w:hint="eastAsia"/>
          <w:sz w:val="20"/>
          <w:szCs w:val="20"/>
        </w:rPr>
        <w:t>値</w:t>
      </w:r>
      <w:r w:rsidR="00DD2B04" w:rsidRPr="009D0E3F">
        <w:rPr>
          <w:rFonts w:hint="eastAsia"/>
          <w:sz w:val="20"/>
          <w:szCs w:val="20"/>
        </w:rPr>
        <w:t>の不確かさの要因の一つとして、</w:t>
      </w:r>
      <w:r w:rsidR="007052A0">
        <w:rPr>
          <w:rFonts w:hint="eastAsia"/>
          <w:sz w:val="20"/>
          <w:szCs w:val="20"/>
        </w:rPr>
        <w:t>核データ</w:t>
      </w:r>
      <w:r w:rsidR="00DD2B04" w:rsidRPr="009D0E3F">
        <w:rPr>
          <w:rFonts w:hint="eastAsia"/>
          <w:sz w:val="20"/>
          <w:szCs w:val="20"/>
        </w:rPr>
        <w:t>の不確かさが挙げられる。これを評価する方法として、当研究室では制御変量法</w:t>
      </w:r>
      <w:r w:rsidR="00DD2B04" w:rsidRPr="009D0E3F">
        <w:rPr>
          <w:sz w:val="20"/>
          <w:szCs w:val="20"/>
        </w:rPr>
        <w:t>(CV</w:t>
      </w:r>
      <w:r w:rsidR="00DD2B04" w:rsidRPr="009D0E3F">
        <w:rPr>
          <w:rFonts w:hint="eastAsia"/>
          <w:sz w:val="20"/>
          <w:szCs w:val="20"/>
        </w:rPr>
        <w:t>法</w:t>
      </w:r>
      <w:r w:rsidR="00DD2B04" w:rsidRPr="009D0E3F">
        <w:rPr>
          <w:sz w:val="20"/>
          <w:szCs w:val="20"/>
        </w:rPr>
        <w:t>)</w:t>
      </w:r>
      <w:r w:rsidR="00DD2B04" w:rsidRPr="009D0E3F">
        <w:rPr>
          <w:rFonts w:hint="eastAsia"/>
          <w:sz w:val="20"/>
          <w:szCs w:val="20"/>
        </w:rPr>
        <w:t>と呼ばれる方法と</w:t>
      </w:r>
      <w:r w:rsidRPr="009D0E3F">
        <w:rPr>
          <w:rFonts w:hint="eastAsia"/>
          <w:sz w:val="20"/>
          <w:szCs w:val="20"/>
        </w:rPr>
        <w:t>感度</w:t>
      </w:r>
      <w:r w:rsidR="00DD2B04" w:rsidRPr="009D0E3F">
        <w:rPr>
          <w:rFonts w:hint="eastAsia"/>
          <w:sz w:val="20"/>
          <w:szCs w:val="20"/>
        </w:rPr>
        <w:t>係数</w:t>
      </w:r>
      <w:r w:rsidR="00DD2B04" w:rsidRPr="009D0E3F">
        <w:rPr>
          <w:sz w:val="20"/>
          <w:szCs w:val="20"/>
        </w:rPr>
        <w:t>（</w:t>
      </w:r>
      <w:r w:rsidR="00DD2B04" w:rsidRPr="009D0E3F">
        <w:rPr>
          <w:sz w:val="20"/>
          <w:szCs w:val="20"/>
        </w:rPr>
        <w:t>Sensitivity</w:t>
      </w:r>
      <w:r w:rsidR="00DD2B04" w:rsidRPr="009D0E3F">
        <w:rPr>
          <w:rFonts w:hint="eastAsia"/>
          <w:sz w:val="20"/>
          <w:szCs w:val="20"/>
        </w:rPr>
        <w:t>）を組み合わせた</w:t>
      </w:r>
      <w:r w:rsidR="00DD2B04" w:rsidRPr="009D0E3F">
        <w:rPr>
          <w:sz w:val="20"/>
          <w:szCs w:val="20"/>
        </w:rPr>
        <w:t>CV-S</w:t>
      </w:r>
      <w:r w:rsidR="00DD2B04" w:rsidRPr="009D0E3F">
        <w:rPr>
          <w:rFonts w:hint="eastAsia"/>
          <w:sz w:val="20"/>
          <w:szCs w:val="20"/>
        </w:rPr>
        <w:t>法</w:t>
      </w:r>
      <w:r w:rsidR="00F111B0">
        <w:rPr>
          <w:rFonts w:hint="eastAsia"/>
          <w:sz w:val="20"/>
          <w:szCs w:val="20"/>
        </w:rPr>
        <w:t>を考案</w:t>
      </w:r>
      <w:r w:rsidR="007052A0">
        <w:rPr>
          <w:rFonts w:hint="eastAsia"/>
          <w:sz w:val="20"/>
          <w:szCs w:val="20"/>
        </w:rPr>
        <w:t>し、</w:t>
      </w:r>
      <w:r w:rsidR="00DD2B04" w:rsidRPr="009D0E3F">
        <w:rPr>
          <w:rFonts w:hint="eastAsia"/>
          <w:sz w:val="20"/>
          <w:szCs w:val="20"/>
        </w:rPr>
        <w:t>核燃料の燃焼問題においてその有効性を示した。また、</w:t>
      </w:r>
      <w:r w:rsidRPr="009D0E3F">
        <w:rPr>
          <w:rFonts w:hint="eastAsia"/>
          <w:sz w:val="20"/>
          <w:szCs w:val="20"/>
        </w:rPr>
        <w:t>無次元化されたパラメータの利用および複数パラメータを合成した仮想的なパラメータによる計算がそれぞれ</w:t>
      </w:r>
      <w:r w:rsidRPr="009D0E3F">
        <w:rPr>
          <w:sz w:val="20"/>
          <w:szCs w:val="20"/>
        </w:rPr>
        <w:t>CV-S</w:t>
      </w:r>
      <w:r w:rsidRPr="009D0E3F">
        <w:rPr>
          <w:rFonts w:hint="eastAsia"/>
          <w:sz w:val="20"/>
          <w:szCs w:val="20"/>
        </w:rPr>
        <w:t>法の高度化において有効であることが既往研究により明らかとなっている。本研究では、これら二つの手法を組み合わせた場合について検討</w:t>
      </w:r>
      <w:r w:rsidR="007052A0">
        <w:rPr>
          <w:rFonts w:hint="eastAsia"/>
          <w:sz w:val="20"/>
          <w:szCs w:val="20"/>
        </w:rPr>
        <w:t>した。</w:t>
      </w:r>
    </w:p>
    <w:p w14:paraId="40D154D5" w14:textId="772486D6" w:rsidR="00D408CD" w:rsidRPr="0016645D" w:rsidRDefault="00D408CD" w:rsidP="002D37BD">
      <w:pPr>
        <w:rPr>
          <w:i/>
          <w:sz w:val="20"/>
          <w:szCs w:val="20"/>
        </w:rPr>
      </w:pPr>
      <w:r w:rsidRPr="00D408CD">
        <w:rPr>
          <w:rFonts w:eastAsia="ＭＳ ゴシック"/>
          <w:b/>
          <w:sz w:val="20"/>
          <w:szCs w:val="20"/>
        </w:rPr>
        <w:t xml:space="preserve">2. </w:t>
      </w:r>
      <w:r w:rsidR="007052A0">
        <w:rPr>
          <w:rFonts w:eastAsia="ＭＳ ゴシック" w:hint="eastAsia"/>
          <w:b/>
          <w:sz w:val="20"/>
          <w:szCs w:val="20"/>
        </w:rPr>
        <w:t>理論</w:t>
      </w:r>
      <w:r w:rsidRPr="00D408CD">
        <w:rPr>
          <w:sz w:val="20"/>
          <w:szCs w:val="20"/>
        </w:rPr>
        <w:t xml:space="preserve">　</w:t>
      </w:r>
      <w:r w:rsidR="00F111B0">
        <w:rPr>
          <w:rFonts w:hint="eastAsia"/>
          <w:sz w:val="20"/>
          <w:szCs w:val="20"/>
        </w:rPr>
        <w:t>統計量を推定する</w:t>
      </w:r>
      <w:r w:rsidR="00F82D51">
        <w:rPr>
          <w:rFonts w:hint="eastAsia"/>
          <w:sz w:val="20"/>
          <w:szCs w:val="20"/>
        </w:rPr>
        <w:t>対象パラメータ</w:t>
      </w:r>
      <m:oMath>
        <m:sSub>
          <m:sSubPr>
            <m:ctrlPr>
              <w:rPr>
                <w:rFonts w:ascii="Cambria Math" w:hAnsi="Cambria Math"/>
                <w:i/>
                <w:sz w:val="20"/>
                <w:szCs w:val="20"/>
              </w:rPr>
            </m:ctrlPr>
          </m:sSubPr>
          <m:e>
            <m:r>
              <w:rPr>
                <w:rFonts w:ascii="Cambria Math" w:hAnsi="Cambria Math"/>
                <w:sz w:val="20"/>
                <w:szCs w:val="20"/>
              </w:rPr>
              <m:t>k</m:t>
            </m:r>
          </m:e>
          <m:sub>
            <m:r>
              <w:rPr>
                <w:rFonts w:ascii="Cambria Math" w:hAnsi="Cambria Math"/>
                <w:sz w:val="20"/>
                <w:szCs w:val="20"/>
              </w:rPr>
              <m:t>t</m:t>
            </m:r>
          </m:sub>
        </m:sSub>
      </m:oMath>
      <w:r w:rsidR="00F111B0">
        <w:rPr>
          <w:rFonts w:hint="eastAsia"/>
          <w:sz w:val="20"/>
          <w:szCs w:val="20"/>
        </w:rPr>
        <w:t>と</w:t>
      </w:r>
      <w:r w:rsidR="00F82D51">
        <w:rPr>
          <w:rFonts w:hint="eastAsia"/>
          <w:sz w:val="20"/>
          <w:szCs w:val="20"/>
        </w:rPr>
        <w:t>、</w:t>
      </w:r>
      <w:r w:rsidR="00F111B0">
        <w:rPr>
          <w:rFonts w:hint="eastAsia"/>
          <w:sz w:val="20"/>
          <w:szCs w:val="20"/>
        </w:rPr>
        <w:t>統計量が既知もしくは容易に推定が可能で、対象パラメータと</w:t>
      </w:r>
      <w:r w:rsidR="00F82D51">
        <w:rPr>
          <w:rFonts w:hint="eastAsia"/>
          <w:sz w:val="20"/>
          <w:szCs w:val="20"/>
        </w:rPr>
        <w:t>類似</w:t>
      </w:r>
      <w:r w:rsidR="00F111B0">
        <w:rPr>
          <w:rFonts w:hint="eastAsia"/>
          <w:sz w:val="20"/>
          <w:szCs w:val="20"/>
        </w:rPr>
        <w:t>な振る舞いが期待される</w:t>
      </w:r>
      <w:r w:rsidR="00F82D51">
        <w:rPr>
          <w:rFonts w:hint="eastAsia"/>
          <w:sz w:val="20"/>
          <w:szCs w:val="20"/>
        </w:rPr>
        <w:t>パラメータ</w:t>
      </w:r>
      <m:oMath>
        <m:sSub>
          <m:sSubPr>
            <m:ctrlPr>
              <w:rPr>
                <w:rFonts w:ascii="Cambria Math" w:hAnsi="Cambria Math"/>
                <w:i/>
                <w:sz w:val="20"/>
                <w:szCs w:val="20"/>
              </w:rPr>
            </m:ctrlPr>
          </m:sSubPr>
          <m:e>
            <m:r>
              <w:rPr>
                <w:rFonts w:ascii="Cambria Math" w:hAnsi="Cambria Math"/>
                <w:sz w:val="20"/>
                <w:szCs w:val="20"/>
              </w:rPr>
              <m:t>k</m:t>
            </m:r>
          </m:e>
          <m:sub>
            <m:r>
              <w:rPr>
                <w:rFonts w:ascii="Cambria Math" w:hAnsi="Cambria Math"/>
                <w:sz w:val="20"/>
                <w:szCs w:val="20"/>
              </w:rPr>
              <m:t>m,j</m:t>
            </m:r>
          </m:sub>
        </m:sSub>
      </m:oMath>
      <w:r w:rsidR="00196379">
        <w:rPr>
          <w:rFonts w:hint="eastAsia"/>
          <w:sz w:val="20"/>
          <w:szCs w:val="20"/>
        </w:rPr>
        <w:t>を用意する。これら</w:t>
      </w:r>
      <w:r w:rsidR="00F82D51">
        <w:rPr>
          <w:rFonts w:hint="eastAsia"/>
          <w:sz w:val="20"/>
          <w:szCs w:val="20"/>
        </w:rPr>
        <w:t>に対して、</w:t>
      </w:r>
      <w:r w:rsidR="00E63667">
        <w:rPr>
          <w:rFonts w:hint="eastAsia"/>
          <w:sz w:val="20"/>
          <w:szCs w:val="20"/>
        </w:rPr>
        <w:t>それぞれに</w:t>
      </w:r>
      <w:r w:rsidR="00F111B0">
        <w:rPr>
          <w:rFonts w:hint="eastAsia"/>
          <w:sz w:val="20"/>
          <w:szCs w:val="20"/>
        </w:rPr>
        <w:t>パラメータの基準値</w:t>
      </w:r>
      <m:oMath>
        <m:acc>
          <m:accPr>
            <m:chr m:val="̅"/>
            <m:ctrlPr>
              <w:rPr>
                <w:rFonts w:ascii="Cambria Math" w:hAnsi="Cambria Math"/>
                <w:i/>
                <w:sz w:val="20"/>
                <w:szCs w:val="20"/>
              </w:rPr>
            </m:ctrlPr>
          </m:accPr>
          <m:e>
            <m:r>
              <w:rPr>
                <w:rFonts w:ascii="Cambria Math" w:hAnsi="Cambria Math"/>
                <w:sz w:val="20"/>
                <w:szCs w:val="20"/>
              </w:rPr>
              <m:t>k</m:t>
            </m:r>
          </m:e>
        </m:acc>
      </m:oMath>
      <w:r w:rsidR="00F111B0">
        <w:rPr>
          <w:rFonts w:hint="eastAsia"/>
          <w:sz w:val="20"/>
          <w:szCs w:val="20"/>
        </w:rPr>
        <w:t>を用いて</w:t>
      </w:r>
      <w:r w:rsidR="00F82D51">
        <w:rPr>
          <w:rFonts w:hint="eastAsia"/>
          <w:sz w:val="20"/>
          <w:szCs w:val="20"/>
        </w:rPr>
        <w:t>無次元化の操作を施した</w:t>
      </w:r>
      <w:r w:rsidR="00E63667">
        <w:rPr>
          <w:rFonts w:hint="eastAsia"/>
          <w:sz w:val="20"/>
          <w:szCs w:val="20"/>
        </w:rPr>
        <w:t>もの</w:t>
      </w:r>
      <w:r w:rsidR="00F82D51">
        <w:rPr>
          <w:rFonts w:hint="eastAsia"/>
          <w:sz w:val="20"/>
          <w:szCs w:val="20"/>
        </w:rPr>
        <w:t>を</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t</m:t>
            </m:r>
          </m:sub>
        </m:sSub>
        <m:r>
          <w:rPr>
            <w:rFonts w:ascii="Cambria Math" w:hAnsi="Cambria Math"/>
            <w:sz w:val="20"/>
            <w:szCs w:val="20"/>
          </w:rPr>
          <m:t>=</m:t>
        </m:r>
        <m:f>
          <m:fP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k</m:t>
                </m:r>
              </m:e>
              <m:sub>
                <m:r>
                  <w:rPr>
                    <w:rFonts w:ascii="Cambria Math" w:hAnsi="Cambria Math"/>
                    <w:sz w:val="20"/>
                    <w:szCs w:val="20"/>
                  </w:rPr>
                  <m:t>t</m:t>
                </m:r>
              </m:sub>
            </m:sSub>
            <m:r>
              <w:rPr>
                <w:rFonts w:ascii="Cambria Math" w:hAnsi="Cambria Math"/>
                <w:sz w:val="20"/>
                <w:szCs w:val="20"/>
              </w:rPr>
              <m:t>-</m:t>
            </m:r>
            <m:acc>
              <m:accPr>
                <m:chr m:val="̅"/>
                <m:ctrlPr>
                  <w:rPr>
                    <w:rFonts w:ascii="Cambria Math" w:hAnsi="Cambria Math"/>
                    <w:i/>
                    <w:sz w:val="20"/>
                    <w:szCs w:val="20"/>
                  </w:rPr>
                </m:ctrlPr>
              </m:accPr>
              <m:e>
                <m:sSub>
                  <m:sSubPr>
                    <m:ctrlPr>
                      <w:rPr>
                        <w:rFonts w:ascii="Cambria Math" w:hAnsi="Cambria Math"/>
                        <w:i/>
                        <w:sz w:val="20"/>
                        <w:szCs w:val="20"/>
                      </w:rPr>
                    </m:ctrlPr>
                  </m:sSubPr>
                  <m:e>
                    <m:r>
                      <w:rPr>
                        <w:rFonts w:ascii="Cambria Math" w:hAnsi="Cambria Math"/>
                        <w:sz w:val="20"/>
                        <w:szCs w:val="20"/>
                      </w:rPr>
                      <m:t>k</m:t>
                    </m:r>
                  </m:e>
                  <m:sub>
                    <m:r>
                      <w:rPr>
                        <w:rFonts w:ascii="Cambria Math" w:hAnsi="Cambria Math"/>
                        <w:sz w:val="20"/>
                        <w:szCs w:val="20"/>
                      </w:rPr>
                      <m:t>t</m:t>
                    </m:r>
                  </m:sub>
                </m:sSub>
              </m:e>
            </m:acc>
          </m:num>
          <m:den>
            <m:acc>
              <m:accPr>
                <m:chr m:val="̅"/>
                <m:ctrlPr>
                  <w:rPr>
                    <w:rFonts w:ascii="Cambria Math" w:hAnsi="Cambria Math"/>
                    <w:i/>
                    <w:sz w:val="20"/>
                    <w:szCs w:val="20"/>
                  </w:rPr>
                </m:ctrlPr>
              </m:accPr>
              <m:e>
                <m:sSub>
                  <m:sSubPr>
                    <m:ctrlPr>
                      <w:rPr>
                        <w:rFonts w:ascii="Cambria Math" w:hAnsi="Cambria Math"/>
                        <w:i/>
                        <w:sz w:val="20"/>
                        <w:szCs w:val="20"/>
                      </w:rPr>
                    </m:ctrlPr>
                  </m:sSubPr>
                  <m:e>
                    <m:r>
                      <w:rPr>
                        <w:rFonts w:ascii="Cambria Math" w:hAnsi="Cambria Math"/>
                        <w:sz w:val="20"/>
                        <w:szCs w:val="20"/>
                      </w:rPr>
                      <m:t>k</m:t>
                    </m:r>
                  </m:e>
                  <m:sub>
                    <m:r>
                      <w:rPr>
                        <w:rFonts w:ascii="Cambria Math" w:hAnsi="Cambria Math"/>
                        <w:sz w:val="20"/>
                        <w:szCs w:val="20"/>
                      </w:rPr>
                      <m:t>t</m:t>
                    </m:r>
                  </m:sub>
                </m:sSub>
              </m:e>
            </m:acc>
          </m:den>
        </m:f>
      </m:oMath>
      <w:r w:rsidR="00F82D51">
        <w:rPr>
          <w:sz w:val="20"/>
          <w:szCs w:val="20"/>
        </w:rPr>
        <w:t xml:space="preserve"> </w:t>
      </w:r>
      <w:r w:rsidR="00F82D51">
        <w:rPr>
          <w:rFonts w:hint="eastAsia"/>
          <w:sz w:val="20"/>
          <w:szCs w:val="20"/>
        </w:rPr>
        <w:t>、</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m,j</m:t>
            </m:r>
          </m:sub>
        </m:sSub>
        <m:r>
          <w:rPr>
            <w:rFonts w:ascii="Cambria Math" w:hAnsi="Cambria Math"/>
            <w:sz w:val="20"/>
            <w:szCs w:val="20"/>
          </w:rPr>
          <m:t>=</m:t>
        </m:r>
        <m:f>
          <m:fP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k</m:t>
                </m:r>
              </m:e>
              <m:sub>
                <m:r>
                  <w:rPr>
                    <w:rFonts w:ascii="Cambria Math" w:hAnsi="Cambria Math"/>
                    <w:sz w:val="20"/>
                    <w:szCs w:val="20"/>
                  </w:rPr>
                  <m:t>m,j</m:t>
                </m:r>
              </m:sub>
            </m:sSub>
            <m:r>
              <w:rPr>
                <w:rFonts w:ascii="Cambria Math" w:hAnsi="Cambria Math"/>
                <w:sz w:val="20"/>
                <w:szCs w:val="20"/>
              </w:rPr>
              <m:t>-</m:t>
            </m:r>
            <m:acc>
              <m:accPr>
                <m:chr m:val="̅"/>
                <m:ctrlPr>
                  <w:rPr>
                    <w:rFonts w:ascii="Cambria Math" w:hAnsi="Cambria Math"/>
                    <w:i/>
                    <w:sz w:val="20"/>
                    <w:szCs w:val="20"/>
                  </w:rPr>
                </m:ctrlPr>
              </m:accPr>
              <m:e>
                <m:sSub>
                  <m:sSubPr>
                    <m:ctrlPr>
                      <w:rPr>
                        <w:rFonts w:ascii="Cambria Math" w:hAnsi="Cambria Math"/>
                        <w:i/>
                        <w:sz w:val="20"/>
                        <w:szCs w:val="20"/>
                      </w:rPr>
                    </m:ctrlPr>
                  </m:sSubPr>
                  <m:e>
                    <m:r>
                      <w:rPr>
                        <w:rFonts w:ascii="Cambria Math" w:hAnsi="Cambria Math"/>
                        <w:sz w:val="20"/>
                        <w:szCs w:val="20"/>
                      </w:rPr>
                      <m:t>k</m:t>
                    </m:r>
                  </m:e>
                  <m:sub>
                    <m:r>
                      <w:rPr>
                        <w:rFonts w:ascii="Cambria Math" w:hAnsi="Cambria Math"/>
                        <w:sz w:val="20"/>
                        <w:szCs w:val="20"/>
                      </w:rPr>
                      <m:t>m,j</m:t>
                    </m:r>
                  </m:sub>
                </m:sSub>
              </m:e>
            </m:acc>
          </m:num>
          <m:den>
            <m:acc>
              <m:accPr>
                <m:chr m:val="̅"/>
                <m:ctrlPr>
                  <w:rPr>
                    <w:rFonts w:ascii="Cambria Math" w:hAnsi="Cambria Math"/>
                    <w:i/>
                    <w:sz w:val="20"/>
                    <w:szCs w:val="20"/>
                  </w:rPr>
                </m:ctrlPr>
              </m:accPr>
              <m:e>
                <m:sSub>
                  <m:sSubPr>
                    <m:ctrlPr>
                      <w:rPr>
                        <w:rFonts w:ascii="Cambria Math" w:hAnsi="Cambria Math"/>
                        <w:i/>
                        <w:sz w:val="20"/>
                        <w:szCs w:val="20"/>
                      </w:rPr>
                    </m:ctrlPr>
                  </m:sSubPr>
                  <m:e>
                    <m:r>
                      <w:rPr>
                        <w:rFonts w:ascii="Cambria Math" w:hAnsi="Cambria Math"/>
                        <w:sz w:val="20"/>
                        <w:szCs w:val="20"/>
                      </w:rPr>
                      <m:t>k</m:t>
                    </m:r>
                  </m:e>
                  <m:sub>
                    <m:r>
                      <w:rPr>
                        <w:rFonts w:ascii="Cambria Math" w:hAnsi="Cambria Math"/>
                        <w:sz w:val="20"/>
                        <w:szCs w:val="20"/>
                      </w:rPr>
                      <m:t>m,j</m:t>
                    </m:r>
                  </m:sub>
                </m:sSub>
              </m:e>
            </m:acc>
          </m:den>
        </m:f>
      </m:oMath>
      <w:r w:rsidR="00F82D51">
        <w:rPr>
          <w:rFonts w:hint="eastAsia"/>
          <w:sz w:val="20"/>
          <w:szCs w:val="20"/>
        </w:rPr>
        <w:t>とし</w:t>
      </w:r>
      <w:r w:rsidR="002D37BD">
        <w:rPr>
          <w:rFonts w:hint="eastAsia"/>
          <w:sz w:val="20"/>
          <w:szCs w:val="20"/>
        </w:rPr>
        <w:t>た。また、</w:t>
      </w:r>
      <w:r w:rsidR="00F82D51">
        <w:rPr>
          <w:rFonts w:hint="eastAsia"/>
          <w:sz w:val="20"/>
          <w:szCs w:val="20"/>
        </w:rPr>
        <w:t>類似パラメータを組み合わせた仮想的な類似パラメータを</w:t>
      </w:r>
      <m:oMath>
        <m:sSub>
          <m:sSubPr>
            <m:ctrlPr>
              <w:rPr>
                <w:rFonts w:ascii="Cambria Math" w:hAnsi="Cambria Math"/>
                <w:i/>
                <w:sz w:val="20"/>
                <w:szCs w:val="20"/>
              </w:rPr>
            </m:ctrlPr>
          </m:sSubPr>
          <m:e>
            <m:r>
              <w:rPr>
                <w:rFonts w:ascii="Cambria Math" w:hAnsi="Cambria Math"/>
                <w:sz w:val="20"/>
                <w:szCs w:val="20"/>
              </w:rPr>
              <m:t>k</m:t>
            </m:r>
          </m:e>
          <m:sub>
            <m:r>
              <w:rPr>
                <w:rFonts w:ascii="Cambria Math" w:hAnsi="Cambria Math"/>
                <w:sz w:val="20"/>
                <w:szCs w:val="20"/>
              </w:rPr>
              <m:t>m</m:t>
            </m:r>
          </m:sub>
        </m:sSub>
        <m:r>
          <w:rPr>
            <w:rFonts w:ascii="Cambria Math" w:hAnsi="Cambria Math"/>
            <w:sz w:val="20"/>
            <w:szCs w:val="20"/>
          </w:rPr>
          <m:t>=</m:t>
        </m:r>
        <m:nary>
          <m:naryPr>
            <m:chr m:val="∏"/>
            <m:limLoc m:val="undOvr"/>
            <m:subHide m:val="1"/>
            <m:supHide m:val="1"/>
            <m:ctrlPr>
              <w:rPr>
                <w:rFonts w:ascii="Cambria Math" w:hAnsi="Cambria Math"/>
                <w:i/>
                <w:sz w:val="20"/>
                <w:szCs w:val="20"/>
              </w:rPr>
            </m:ctrlPr>
          </m:naryPr>
          <m:sub/>
          <m:sup/>
          <m:e>
            <m:sSubSup>
              <m:sSubSupPr>
                <m:ctrlPr>
                  <w:rPr>
                    <w:rFonts w:ascii="Cambria Math" w:hAnsi="Cambria Math"/>
                    <w:i/>
                    <w:sz w:val="20"/>
                    <w:szCs w:val="20"/>
                  </w:rPr>
                </m:ctrlPr>
              </m:sSubSupPr>
              <m:e>
                <m:r>
                  <w:rPr>
                    <w:rFonts w:ascii="Cambria Math" w:hAnsi="Cambria Math"/>
                    <w:sz w:val="20"/>
                    <w:szCs w:val="20"/>
                  </w:rPr>
                  <m:t>k</m:t>
                </m:r>
              </m:e>
              <m:sub>
                <m:r>
                  <w:rPr>
                    <w:rFonts w:ascii="Cambria Math" w:hAnsi="Cambria Math"/>
                    <w:sz w:val="20"/>
                    <w:szCs w:val="20"/>
                  </w:rPr>
                  <m:t>m,j</m:t>
                </m:r>
              </m:sub>
              <m:sup>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j</m:t>
                    </m:r>
                  </m:sub>
                </m:sSub>
              </m:sup>
            </m:sSubSup>
          </m:e>
        </m:nary>
      </m:oMath>
      <w:r w:rsidR="00F82D51">
        <w:rPr>
          <w:rFonts w:hint="eastAsia"/>
          <w:sz w:val="20"/>
          <w:szCs w:val="20"/>
        </w:rPr>
        <w:t>と</w:t>
      </w:r>
      <w:r w:rsidR="002D37BD">
        <w:rPr>
          <w:rFonts w:hint="eastAsia"/>
          <w:sz w:val="20"/>
          <w:szCs w:val="20"/>
        </w:rPr>
        <w:t>し、同様に基準値</w:t>
      </w:r>
      <m:oMath>
        <m:acc>
          <m:accPr>
            <m:chr m:val="̅"/>
            <m:ctrlPr>
              <w:rPr>
                <w:rFonts w:ascii="Cambria Math" w:hAnsi="Cambria Math"/>
                <w:i/>
                <w:sz w:val="20"/>
                <w:szCs w:val="20"/>
              </w:rPr>
            </m:ctrlPr>
          </m:accPr>
          <m:e>
            <m:sSub>
              <m:sSubPr>
                <m:ctrlPr>
                  <w:rPr>
                    <w:rFonts w:ascii="Cambria Math" w:hAnsi="Cambria Math"/>
                    <w:i/>
                    <w:sz w:val="20"/>
                    <w:szCs w:val="20"/>
                  </w:rPr>
                </m:ctrlPr>
              </m:sSubPr>
              <m:e>
                <m:r>
                  <w:rPr>
                    <w:rFonts w:ascii="Cambria Math" w:hAnsi="Cambria Math"/>
                    <w:sz w:val="20"/>
                    <w:szCs w:val="20"/>
                  </w:rPr>
                  <m:t>k</m:t>
                </m:r>
              </m:e>
              <m:sub>
                <m:r>
                  <w:rPr>
                    <w:rFonts w:ascii="Cambria Math" w:hAnsi="Cambria Math"/>
                    <w:sz w:val="20"/>
                    <w:szCs w:val="20"/>
                  </w:rPr>
                  <m:t>m</m:t>
                </m:r>
              </m:sub>
            </m:sSub>
          </m:e>
        </m:acc>
      </m:oMath>
      <w:r w:rsidR="002D37BD">
        <w:rPr>
          <w:rFonts w:hint="eastAsia"/>
          <w:sz w:val="20"/>
          <w:szCs w:val="20"/>
        </w:rPr>
        <w:t>を用いて</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m</m:t>
            </m:r>
          </m:sub>
        </m:sSub>
        <m:r>
          <w:rPr>
            <w:rFonts w:ascii="Cambria Math" w:hAnsi="Cambria Math"/>
            <w:sz w:val="20"/>
            <w:szCs w:val="20"/>
          </w:rPr>
          <m:t>=</m:t>
        </m:r>
        <m:f>
          <m:fP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k</m:t>
                </m:r>
              </m:e>
              <m:sub>
                <m:r>
                  <w:rPr>
                    <w:rFonts w:ascii="Cambria Math" w:hAnsi="Cambria Math"/>
                    <w:sz w:val="20"/>
                    <w:szCs w:val="20"/>
                  </w:rPr>
                  <m:t>m</m:t>
                </m:r>
              </m:sub>
            </m:sSub>
            <m:r>
              <w:rPr>
                <w:rFonts w:ascii="Cambria Math" w:hAnsi="Cambria Math"/>
                <w:sz w:val="20"/>
                <w:szCs w:val="20"/>
              </w:rPr>
              <m:t>-</m:t>
            </m:r>
            <m:acc>
              <m:accPr>
                <m:chr m:val="̅"/>
                <m:ctrlPr>
                  <w:rPr>
                    <w:rFonts w:ascii="Cambria Math" w:hAnsi="Cambria Math"/>
                    <w:i/>
                    <w:sz w:val="20"/>
                    <w:szCs w:val="20"/>
                  </w:rPr>
                </m:ctrlPr>
              </m:accPr>
              <m:e>
                <m:sSub>
                  <m:sSubPr>
                    <m:ctrlPr>
                      <w:rPr>
                        <w:rFonts w:ascii="Cambria Math" w:hAnsi="Cambria Math"/>
                        <w:i/>
                        <w:sz w:val="20"/>
                        <w:szCs w:val="20"/>
                      </w:rPr>
                    </m:ctrlPr>
                  </m:sSubPr>
                  <m:e>
                    <m:r>
                      <w:rPr>
                        <w:rFonts w:ascii="Cambria Math" w:hAnsi="Cambria Math"/>
                        <w:sz w:val="20"/>
                        <w:szCs w:val="20"/>
                      </w:rPr>
                      <m:t>k</m:t>
                    </m:r>
                  </m:e>
                  <m:sub>
                    <m:r>
                      <w:rPr>
                        <w:rFonts w:ascii="Cambria Math" w:hAnsi="Cambria Math"/>
                        <w:sz w:val="20"/>
                        <w:szCs w:val="20"/>
                      </w:rPr>
                      <m:t>m</m:t>
                    </m:r>
                  </m:sub>
                </m:sSub>
              </m:e>
            </m:acc>
          </m:num>
          <m:den>
            <m:acc>
              <m:accPr>
                <m:chr m:val="̅"/>
                <m:ctrlPr>
                  <w:rPr>
                    <w:rFonts w:ascii="Cambria Math" w:hAnsi="Cambria Math"/>
                    <w:i/>
                    <w:sz w:val="20"/>
                    <w:szCs w:val="20"/>
                  </w:rPr>
                </m:ctrlPr>
              </m:accPr>
              <m:e>
                <m:sSub>
                  <m:sSubPr>
                    <m:ctrlPr>
                      <w:rPr>
                        <w:rFonts w:ascii="Cambria Math" w:hAnsi="Cambria Math"/>
                        <w:i/>
                        <w:sz w:val="20"/>
                        <w:szCs w:val="20"/>
                      </w:rPr>
                    </m:ctrlPr>
                  </m:sSubPr>
                  <m:e>
                    <m:r>
                      <w:rPr>
                        <w:rFonts w:ascii="Cambria Math" w:hAnsi="Cambria Math"/>
                        <w:sz w:val="20"/>
                        <w:szCs w:val="20"/>
                      </w:rPr>
                      <m:t>k</m:t>
                    </m:r>
                  </m:e>
                  <m:sub>
                    <m:r>
                      <w:rPr>
                        <w:rFonts w:ascii="Cambria Math" w:hAnsi="Cambria Math"/>
                        <w:sz w:val="20"/>
                        <w:szCs w:val="20"/>
                      </w:rPr>
                      <m:t>m</m:t>
                    </m:r>
                  </m:sub>
                </m:sSub>
              </m:e>
            </m:acc>
          </m:den>
        </m:f>
      </m:oMath>
      <w:r w:rsidR="002D37BD">
        <w:rPr>
          <w:rFonts w:hint="eastAsia"/>
          <w:sz w:val="20"/>
          <w:szCs w:val="20"/>
        </w:rPr>
        <w:t>として無次元化を施した。</w:t>
      </w:r>
      <w:r w:rsidR="00F82D51">
        <w:rPr>
          <w:rFonts w:hint="eastAsia"/>
          <w:sz w:val="20"/>
          <w:szCs w:val="20"/>
        </w:rPr>
        <w:t>この際、それぞれのパラメータに対する重み</w:t>
      </w:r>
      <m:oMath>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j</m:t>
            </m:r>
          </m:sub>
        </m:sSub>
      </m:oMath>
      <w:r w:rsidR="00062032">
        <w:rPr>
          <w:rFonts w:hint="eastAsia"/>
          <w:sz w:val="20"/>
          <w:szCs w:val="20"/>
        </w:rPr>
        <w:t>の最適値</w:t>
      </w:r>
      <w:r w:rsidR="00F82D51">
        <w:rPr>
          <w:rFonts w:hint="eastAsia"/>
          <w:sz w:val="20"/>
          <w:szCs w:val="20"/>
        </w:rPr>
        <w:t>は、類似パラメータの分散共分散行列</w:t>
      </w:r>
      <m:oMath>
        <m:sSub>
          <m:sSubPr>
            <m:ctrlPr>
              <w:rPr>
                <w:rFonts w:ascii="Cambria Math" w:hAnsi="Cambria Math"/>
                <w:i/>
                <w:sz w:val="20"/>
                <w:szCs w:val="20"/>
              </w:rPr>
            </m:ctrlPr>
          </m:sSubPr>
          <m:e>
            <m:r>
              <m:rPr>
                <m:sty m:val="p"/>
              </m:rPr>
              <w:rPr>
                <w:rFonts w:ascii="Cambria Math" w:hAnsi="Cambria Math"/>
                <w:sz w:val="20"/>
                <w:szCs w:val="20"/>
              </w:rPr>
              <m:t>Σ</m:t>
            </m:r>
            <m:ctrlPr>
              <w:rPr>
                <w:rFonts w:ascii="Cambria Math" w:hAnsi="Cambria Math"/>
                <w:sz w:val="20"/>
                <w:szCs w:val="20"/>
              </w:rPr>
            </m:ctrlPr>
          </m:e>
          <m:sub>
            <m:r>
              <w:rPr>
                <w:rFonts w:ascii="Cambria Math" w:hAnsi="Cambria Math"/>
                <w:sz w:val="20"/>
                <w:szCs w:val="20"/>
              </w:rPr>
              <m:t>m</m:t>
            </m:r>
          </m:sub>
        </m:sSub>
      </m:oMath>
      <w:r w:rsidR="00F82D51">
        <w:rPr>
          <w:rFonts w:hint="eastAsia"/>
          <w:sz w:val="20"/>
          <w:szCs w:val="20"/>
        </w:rPr>
        <w:t>の逆行列</w:t>
      </w:r>
      <w:r w:rsidR="00AF0217">
        <w:rPr>
          <w:rFonts w:hint="eastAsia"/>
          <w:sz w:val="20"/>
          <w:szCs w:val="20"/>
        </w:rPr>
        <w:t>と</w:t>
      </w:r>
      <w:r w:rsidR="00F82D51">
        <w:rPr>
          <w:rFonts w:hint="eastAsia"/>
          <w:sz w:val="20"/>
          <w:szCs w:val="20"/>
        </w:rPr>
        <w:t>類似パラメータと対象パラメータの共分散ベクトル</w:t>
      </w:r>
      <m:oMath>
        <m:sSub>
          <m:sSubPr>
            <m:ctrlPr>
              <w:rPr>
                <w:rFonts w:ascii="Cambria Math" w:hAnsi="Cambria Math"/>
                <w:i/>
                <w:sz w:val="20"/>
                <w:szCs w:val="20"/>
              </w:rPr>
            </m:ctrlPr>
          </m:sSubPr>
          <m:e>
            <m:r>
              <w:rPr>
                <w:rFonts w:ascii="Cambria Math" w:hAnsi="Cambria Math"/>
                <w:sz w:val="20"/>
                <w:szCs w:val="20"/>
              </w:rPr>
              <m:t>σ</m:t>
            </m:r>
          </m:e>
          <m:sub>
            <m:r>
              <w:rPr>
                <w:rFonts w:ascii="Cambria Math" w:hAnsi="Cambria Math"/>
                <w:sz w:val="20"/>
                <w:szCs w:val="20"/>
              </w:rPr>
              <m:t>t,m</m:t>
            </m:r>
          </m:sub>
        </m:sSub>
      </m:oMath>
      <w:r w:rsidR="00F82D51">
        <w:rPr>
          <w:rFonts w:hint="eastAsia"/>
          <w:sz w:val="20"/>
          <w:szCs w:val="20"/>
        </w:rPr>
        <w:t>の積から決定される。類似パラメータ</w:t>
      </w:r>
      <w:r w:rsidR="00062032">
        <w:rPr>
          <w:rFonts w:hint="eastAsia"/>
          <w:sz w:val="20"/>
          <w:szCs w:val="20"/>
        </w:rPr>
        <w:t>の</w:t>
      </w:r>
      <m:oMath>
        <m:sSub>
          <m:sSubPr>
            <m:ctrlPr>
              <w:rPr>
                <w:rFonts w:ascii="Cambria Math" w:hAnsi="Cambria Math"/>
                <w:i/>
                <w:sz w:val="20"/>
                <w:szCs w:val="20"/>
              </w:rPr>
            </m:ctrlPr>
          </m:sSubPr>
          <m:e>
            <m:r>
              <m:rPr>
                <m:sty m:val="p"/>
              </m:rPr>
              <w:rPr>
                <w:rFonts w:ascii="Cambria Math" w:hAnsi="Cambria Math"/>
                <w:sz w:val="20"/>
                <w:szCs w:val="20"/>
              </w:rPr>
              <m:t>Σ</m:t>
            </m:r>
            <m:ctrlPr>
              <w:rPr>
                <w:rFonts w:ascii="Cambria Math" w:hAnsi="Cambria Math"/>
                <w:sz w:val="20"/>
                <w:szCs w:val="20"/>
              </w:rPr>
            </m:ctrlPr>
          </m:e>
          <m:sub>
            <m:r>
              <w:rPr>
                <w:rFonts w:ascii="Cambria Math" w:hAnsi="Cambria Math"/>
                <w:sz w:val="20"/>
                <w:szCs w:val="20"/>
              </w:rPr>
              <m:t>m</m:t>
            </m:r>
          </m:sub>
        </m:sSub>
      </m:oMath>
      <w:proofErr w:type="gramStart"/>
      <w:r w:rsidR="00062032">
        <w:rPr>
          <w:rFonts w:hint="eastAsia"/>
          <w:sz w:val="20"/>
          <w:szCs w:val="20"/>
        </w:rPr>
        <w:t>は</w:t>
      </w:r>
      <w:proofErr w:type="gramEnd"/>
      <w:r w:rsidR="00062032">
        <w:rPr>
          <w:rFonts w:hint="eastAsia"/>
          <w:sz w:val="20"/>
          <w:szCs w:val="20"/>
        </w:rPr>
        <w:t>既知であるが</w:t>
      </w:r>
      <w:r w:rsidR="00F82D51">
        <w:rPr>
          <w:rFonts w:hint="eastAsia"/>
          <w:sz w:val="20"/>
          <w:szCs w:val="20"/>
        </w:rPr>
        <w:t>、</w:t>
      </w:r>
      <w:r w:rsidR="00196379">
        <w:rPr>
          <w:rFonts w:hint="eastAsia"/>
          <w:sz w:val="20"/>
          <w:szCs w:val="20"/>
        </w:rPr>
        <w:t>重みの</w:t>
      </w:r>
      <w:r w:rsidR="00E63667">
        <w:rPr>
          <w:rFonts w:hint="eastAsia"/>
          <w:sz w:val="20"/>
          <w:szCs w:val="20"/>
        </w:rPr>
        <w:t>計算</w:t>
      </w:r>
      <w:r w:rsidR="00F82D51">
        <w:rPr>
          <w:rFonts w:hint="eastAsia"/>
          <w:sz w:val="20"/>
          <w:szCs w:val="20"/>
        </w:rPr>
        <w:t>に用いられる</w:t>
      </w:r>
      <m:oMath>
        <m:sSub>
          <m:sSubPr>
            <m:ctrlPr>
              <w:rPr>
                <w:rFonts w:ascii="Cambria Math" w:hAnsi="Cambria Math"/>
                <w:i/>
                <w:sz w:val="20"/>
                <w:szCs w:val="20"/>
              </w:rPr>
            </m:ctrlPr>
          </m:sSubPr>
          <m:e>
            <m:r>
              <m:rPr>
                <m:sty m:val="p"/>
              </m:rPr>
              <w:rPr>
                <w:rFonts w:ascii="Cambria Math" w:hAnsi="Cambria Math"/>
                <w:sz w:val="20"/>
                <w:szCs w:val="20"/>
              </w:rPr>
              <m:t>Σ</m:t>
            </m:r>
            <m:ctrlPr>
              <w:rPr>
                <w:rFonts w:ascii="Cambria Math" w:hAnsi="Cambria Math"/>
                <w:sz w:val="20"/>
                <w:szCs w:val="20"/>
              </w:rPr>
            </m:ctrlPr>
          </m:e>
          <m:sub>
            <m:r>
              <w:rPr>
                <w:rFonts w:ascii="Cambria Math" w:hAnsi="Cambria Math"/>
                <w:sz w:val="20"/>
                <w:szCs w:val="20"/>
              </w:rPr>
              <m:t>m</m:t>
            </m:r>
          </m:sub>
        </m:sSub>
      </m:oMath>
      <w:r w:rsidR="00AF0217">
        <w:rPr>
          <w:rFonts w:hint="eastAsia"/>
          <w:sz w:val="20"/>
          <w:szCs w:val="20"/>
        </w:rPr>
        <w:t>はサンプルから求められたものを利用する。これにより、</w:t>
      </w:r>
      <m:oMath>
        <m:sSub>
          <m:sSubPr>
            <m:ctrlPr>
              <w:rPr>
                <w:rFonts w:ascii="Cambria Math" w:hAnsi="Cambria Math"/>
                <w:i/>
                <w:sz w:val="20"/>
                <w:szCs w:val="20"/>
              </w:rPr>
            </m:ctrlPr>
          </m:sSubPr>
          <m:e>
            <m:r>
              <w:rPr>
                <w:rFonts w:ascii="Cambria Math" w:hAnsi="Cambria Math"/>
                <w:sz w:val="20"/>
                <w:szCs w:val="20"/>
              </w:rPr>
              <m:t>σ</m:t>
            </m:r>
          </m:e>
          <m:sub>
            <m:r>
              <w:rPr>
                <w:rFonts w:ascii="Cambria Math" w:hAnsi="Cambria Math"/>
                <w:sz w:val="20"/>
                <w:szCs w:val="20"/>
              </w:rPr>
              <m:t>t,m</m:t>
            </m:r>
          </m:sub>
        </m:sSub>
      </m:oMath>
      <w:r w:rsidR="00AF0217">
        <w:rPr>
          <w:rFonts w:hint="eastAsia"/>
          <w:sz w:val="20"/>
          <w:szCs w:val="20"/>
        </w:rPr>
        <w:t>に含まれるデータのばらつきによる影響を、</w:t>
      </w:r>
      <m:oMath>
        <m:sSub>
          <m:sSubPr>
            <m:ctrlPr>
              <w:rPr>
                <w:rFonts w:ascii="Cambria Math" w:hAnsi="Cambria Math"/>
                <w:i/>
                <w:sz w:val="20"/>
                <w:szCs w:val="20"/>
              </w:rPr>
            </m:ctrlPr>
          </m:sSubPr>
          <m:e>
            <m:r>
              <m:rPr>
                <m:sty m:val="p"/>
              </m:rPr>
              <w:rPr>
                <w:rFonts w:ascii="Cambria Math" w:hAnsi="Cambria Math"/>
                <w:sz w:val="20"/>
                <w:szCs w:val="20"/>
              </w:rPr>
              <m:t>Σ</m:t>
            </m:r>
            <m:ctrlPr>
              <w:rPr>
                <w:rFonts w:ascii="Cambria Math" w:hAnsi="Cambria Math"/>
                <w:sz w:val="20"/>
                <w:szCs w:val="20"/>
              </w:rPr>
            </m:ctrlPr>
          </m:e>
          <m:sub>
            <m:r>
              <w:rPr>
                <w:rFonts w:ascii="Cambria Math" w:hAnsi="Cambria Math"/>
                <w:sz w:val="20"/>
                <w:szCs w:val="20"/>
              </w:rPr>
              <m:t>m</m:t>
            </m:r>
          </m:sub>
        </m:sSub>
      </m:oMath>
      <w:r w:rsidR="00AF0217">
        <w:rPr>
          <w:rFonts w:hint="eastAsia"/>
          <w:sz w:val="20"/>
          <w:szCs w:val="20"/>
        </w:rPr>
        <w:t>に含まれるばらつきによって打ち消すことが</w:t>
      </w:r>
      <w:r w:rsidR="00062032">
        <w:rPr>
          <w:rFonts w:hint="eastAsia"/>
          <w:sz w:val="20"/>
          <w:szCs w:val="20"/>
        </w:rPr>
        <w:t>期待される。</w:t>
      </w:r>
    </w:p>
    <w:p w14:paraId="1AD11829" w14:textId="03B59543" w:rsidR="0013619D" w:rsidRPr="00B576C1" w:rsidRDefault="00E247BE" w:rsidP="000D0D12">
      <w:pPr>
        <w:rPr>
          <w:rFonts w:ascii="ＭＳ 明朝" w:hAnsi="ＭＳ 明朝"/>
          <w:bCs/>
          <w:sz w:val="20"/>
          <w:szCs w:val="20"/>
        </w:rPr>
      </w:pPr>
      <w:r>
        <w:rPr>
          <w:noProof/>
        </w:rPr>
        <mc:AlternateContent>
          <mc:Choice Requires="wps">
            <w:drawing>
              <wp:anchor distT="0" distB="0" distL="114300" distR="114300" simplePos="0" relativeHeight="251660288" behindDoc="0" locked="0" layoutInCell="1" allowOverlap="1" wp14:anchorId="2C49DF9A" wp14:editId="14648F34">
                <wp:simplePos x="0" y="0"/>
                <wp:positionH relativeFrom="column">
                  <wp:posOffset>3047365</wp:posOffset>
                </wp:positionH>
                <wp:positionV relativeFrom="paragraph">
                  <wp:posOffset>3854450</wp:posOffset>
                </wp:positionV>
                <wp:extent cx="3047365" cy="207645"/>
                <wp:effectExtent l="0" t="0" r="635" b="0"/>
                <wp:wrapSquare wrapText="bothSides"/>
                <wp:docPr id="1" name="テキスト ボックス 1"/>
                <wp:cNvGraphicFramePr/>
                <a:graphic xmlns:a="http://schemas.openxmlformats.org/drawingml/2006/main">
                  <a:graphicData uri="http://schemas.microsoft.com/office/word/2010/wordprocessingShape">
                    <wps:wsp>
                      <wps:cNvSpPr txBox="1"/>
                      <wps:spPr>
                        <a:xfrm>
                          <a:off x="0" y="0"/>
                          <a:ext cx="3047365" cy="207645"/>
                        </a:xfrm>
                        <a:prstGeom prst="rect">
                          <a:avLst/>
                        </a:prstGeom>
                        <a:solidFill>
                          <a:prstClr val="white"/>
                        </a:solidFill>
                        <a:ln>
                          <a:noFill/>
                        </a:ln>
                      </wps:spPr>
                      <wps:txbx>
                        <w:txbxContent>
                          <w:p w14:paraId="436387D2" w14:textId="28580DFB" w:rsidR="002552F5" w:rsidRPr="0034136B" w:rsidRDefault="002552F5" w:rsidP="002552F5">
                            <w:pPr>
                              <w:pStyle w:val="af2"/>
                              <w:jc w:val="center"/>
                              <w:rPr>
                                <w:noProof/>
                                <w:sz w:val="20"/>
                                <w:szCs w:val="20"/>
                              </w:rPr>
                            </w:pPr>
                            <w:r w:rsidRPr="0034136B">
                              <w:rPr>
                                <w:rFonts w:hint="eastAsia"/>
                                <w:sz w:val="20"/>
                                <w:szCs w:val="20"/>
                              </w:rPr>
                              <w:t>図</w:t>
                            </w:r>
                            <w:r w:rsidRPr="0034136B">
                              <w:rPr>
                                <w:rFonts w:hint="eastAsia"/>
                                <w:sz w:val="20"/>
                                <w:szCs w:val="20"/>
                              </w:rPr>
                              <w:t xml:space="preserve"> </w:t>
                            </w:r>
                            <w:r w:rsidRPr="0034136B">
                              <w:rPr>
                                <w:sz w:val="20"/>
                                <w:szCs w:val="20"/>
                              </w:rPr>
                              <w:fldChar w:fldCharType="begin"/>
                            </w:r>
                            <w:r w:rsidRPr="0034136B">
                              <w:rPr>
                                <w:sz w:val="20"/>
                                <w:szCs w:val="20"/>
                              </w:rPr>
                              <w:instrText xml:space="preserve"> </w:instrText>
                            </w:r>
                            <w:r w:rsidRPr="0034136B">
                              <w:rPr>
                                <w:rFonts w:hint="eastAsia"/>
                                <w:sz w:val="20"/>
                                <w:szCs w:val="20"/>
                              </w:rPr>
                              <w:instrText xml:space="preserve">SEQ </w:instrText>
                            </w:r>
                            <w:r w:rsidRPr="0034136B">
                              <w:rPr>
                                <w:rFonts w:hint="eastAsia"/>
                                <w:sz w:val="20"/>
                                <w:szCs w:val="20"/>
                              </w:rPr>
                              <w:instrText>図</w:instrText>
                            </w:r>
                            <w:r w:rsidRPr="0034136B">
                              <w:rPr>
                                <w:rFonts w:hint="eastAsia"/>
                                <w:sz w:val="20"/>
                                <w:szCs w:val="20"/>
                              </w:rPr>
                              <w:instrText xml:space="preserve"> \* ARABIC</w:instrText>
                            </w:r>
                            <w:r w:rsidRPr="0034136B">
                              <w:rPr>
                                <w:sz w:val="20"/>
                                <w:szCs w:val="20"/>
                              </w:rPr>
                              <w:instrText xml:space="preserve"> </w:instrText>
                            </w:r>
                            <w:r w:rsidRPr="0034136B">
                              <w:rPr>
                                <w:sz w:val="20"/>
                                <w:szCs w:val="20"/>
                              </w:rPr>
                              <w:fldChar w:fldCharType="separate"/>
                            </w:r>
                            <w:r w:rsidR="0058670E">
                              <w:rPr>
                                <w:noProof/>
                                <w:sz w:val="20"/>
                                <w:szCs w:val="20"/>
                              </w:rPr>
                              <w:t>1</w:t>
                            </w:r>
                            <w:r w:rsidRPr="0034136B">
                              <w:rPr>
                                <w:sz w:val="20"/>
                                <w:szCs w:val="20"/>
                              </w:rPr>
                              <w:fldChar w:fldCharType="end"/>
                            </w:r>
                            <w:r w:rsidRPr="0034136B">
                              <w:rPr>
                                <w:rFonts w:hint="eastAsia"/>
                                <w:sz w:val="20"/>
                                <w:szCs w:val="20"/>
                              </w:rPr>
                              <w:t xml:space="preserve">　単一パラメータと仮想的なパラメータの比較</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C49DF9A" id="_x0000_t202" coordsize="21600,21600" o:spt="202" path="m,l,21600r21600,l21600,xe">
                <v:stroke joinstyle="miter"/>
                <v:path gradientshapeok="t" o:connecttype="rect"/>
              </v:shapetype>
              <v:shape id="テキスト ボックス 1" o:spid="_x0000_s1026" type="#_x0000_t202" style="position:absolute;left:0;text-align:left;margin-left:239.95pt;margin-top:303.5pt;width:239.95pt;height:16.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" stroked="f">
                <v:textbox inset="0,0,0,0">
                  <w:txbxContent>
                    <w:p w14:paraId="436387D2" w14:textId="28580DFB" w:rsidR="002552F5" w:rsidRPr="0034136B" w:rsidRDefault="002552F5" w:rsidP="002552F5">
                      <w:pPr>
                        <w:pStyle w:val="af2"/>
                        <w:jc w:val="center"/>
                        <w:rPr>
                          <w:noProof/>
                          <w:sz w:val="20"/>
                          <w:szCs w:val="20"/>
                        </w:rPr>
                      </w:pPr>
                      <w:r w:rsidRPr="0034136B">
                        <w:rPr>
                          <w:rFonts w:hint="eastAsia"/>
                          <w:sz w:val="20"/>
                          <w:szCs w:val="20"/>
                        </w:rPr>
                        <w:t>図</w:t>
                      </w:r>
                      <w:r w:rsidRPr="0034136B">
                        <w:rPr>
                          <w:rFonts w:hint="eastAsia"/>
                          <w:sz w:val="20"/>
                          <w:szCs w:val="20"/>
                        </w:rPr>
                        <w:t xml:space="preserve"> </w:t>
                      </w:r>
                      <w:r w:rsidRPr="0034136B">
                        <w:rPr>
                          <w:sz w:val="20"/>
                          <w:szCs w:val="20"/>
                        </w:rPr>
                        <w:fldChar w:fldCharType="begin"/>
                      </w:r>
                      <w:r w:rsidRPr="0034136B">
                        <w:rPr>
                          <w:sz w:val="20"/>
                          <w:szCs w:val="20"/>
                        </w:rPr>
                        <w:instrText xml:space="preserve"> </w:instrText>
                      </w:r>
                      <w:r w:rsidRPr="0034136B">
                        <w:rPr>
                          <w:rFonts w:hint="eastAsia"/>
                          <w:sz w:val="20"/>
                          <w:szCs w:val="20"/>
                        </w:rPr>
                        <w:instrText xml:space="preserve">SEQ </w:instrText>
                      </w:r>
                      <w:r w:rsidRPr="0034136B">
                        <w:rPr>
                          <w:rFonts w:hint="eastAsia"/>
                          <w:sz w:val="20"/>
                          <w:szCs w:val="20"/>
                        </w:rPr>
                        <w:instrText>図</w:instrText>
                      </w:r>
                      <w:r w:rsidRPr="0034136B">
                        <w:rPr>
                          <w:rFonts w:hint="eastAsia"/>
                          <w:sz w:val="20"/>
                          <w:szCs w:val="20"/>
                        </w:rPr>
                        <w:instrText xml:space="preserve"> \* ARABIC</w:instrText>
                      </w:r>
                      <w:r w:rsidRPr="0034136B">
                        <w:rPr>
                          <w:sz w:val="20"/>
                          <w:szCs w:val="20"/>
                        </w:rPr>
                        <w:instrText xml:space="preserve"> </w:instrText>
                      </w:r>
                      <w:r w:rsidRPr="0034136B">
                        <w:rPr>
                          <w:sz w:val="20"/>
                          <w:szCs w:val="20"/>
                        </w:rPr>
                        <w:fldChar w:fldCharType="separate"/>
                      </w:r>
                      <w:r w:rsidR="0058670E">
                        <w:rPr>
                          <w:noProof/>
                          <w:sz w:val="20"/>
                          <w:szCs w:val="20"/>
                        </w:rPr>
                        <w:t>1</w:t>
                      </w:r>
                      <w:r w:rsidRPr="0034136B">
                        <w:rPr>
                          <w:sz w:val="20"/>
                          <w:szCs w:val="20"/>
                        </w:rPr>
                        <w:fldChar w:fldCharType="end"/>
                      </w:r>
                      <w:r w:rsidRPr="0034136B">
                        <w:rPr>
                          <w:rFonts w:hint="eastAsia"/>
                          <w:sz w:val="20"/>
                          <w:szCs w:val="20"/>
                        </w:rPr>
                        <w:t xml:space="preserve">　単一パラメータと仮想的なパラメータの比較</w:t>
                      </w:r>
                    </w:p>
                  </w:txbxContent>
                </v:textbox>
                <w10:wrap type="square"/>
              </v:shape>
            </w:pict>
          </mc:Fallback>
        </mc:AlternateContent>
      </w:r>
      <w:r>
        <w:rPr>
          <w:noProof/>
          <w:sz w:val="18"/>
          <w:szCs w:val="18"/>
        </w:rPr>
        <w:drawing>
          <wp:anchor distT="0" distB="0" distL="114300" distR="114300" simplePos="0" relativeHeight="251658240" behindDoc="0" locked="0" layoutInCell="1" allowOverlap="1" wp14:anchorId="11F03450" wp14:editId="739C524F">
            <wp:simplePos x="0" y="0"/>
            <wp:positionH relativeFrom="margin">
              <wp:posOffset>3299460</wp:posOffset>
            </wp:positionH>
            <wp:positionV relativeFrom="margin">
              <wp:posOffset>6979920</wp:posOffset>
            </wp:positionV>
            <wp:extent cx="2526030" cy="1934210"/>
            <wp:effectExtent l="0" t="0" r="1270" b="0"/>
            <wp:wrapSquare wrapText="bothSides"/>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図 3"/>
                    <pic:cNvPicPr/>
                  </pic:nvPicPr>
                  <pic:blipFill rotWithShape="1">
                    <a:blip r:embed="rId8">
                      <a:extLst>
                        <a:ext uri="{BEBA8EAE-BF5A-486C-A8C5-ECC9F3942E4B}">
                          <a14:imgProps xmlns:a14="http://schemas.microsoft.com/office/drawing/2010/main">
                            <a14:imgLayer r:embed="rId9">
                              <a14:imgEffect>
                                <a14:colorTemperature colorTemp="6600"/>
                              </a14:imgEffect>
                              <a14:imgEffect>
                                <a14:saturation sat="0"/>
                              </a14:imgEffect>
                            </a14:imgLayer>
                          </a14:imgProps>
                        </a:ext>
                        <a:ext uri="{28A0092B-C50C-407E-A947-70E740481C1C}">
                          <a14:useLocalDpi xmlns:a14="http://schemas.microsoft.com/office/drawing/2010/main" val="0"/>
                        </a:ext>
                      </a:extLst>
                    </a:blip>
                    <a:srcRect t="38223" r="39875" b="384"/>
                    <a:stretch/>
                  </pic:blipFill>
                  <pic:spPr bwMode="auto">
                    <a:xfrm>
                      <a:off x="0" y="0"/>
                      <a:ext cx="2526030" cy="19342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E2971">
        <w:rPr>
          <w:rFonts w:eastAsia="ＭＳ ゴシック"/>
          <w:b/>
          <w:sz w:val="20"/>
          <w:szCs w:val="20"/>
        </w:rPr>
        <w:t>3</w:t>
      </w:r>
      <w:r w:rsidR="00D408CD" w:rsidRPr="00D408CD">
        <w:rPr>
          <w:rFonts w:eastAsia="ＭＳ ゴシック"/>
          <w:b/>
          <w:sz w:val="20"/>
          <w:szCs w:val="20"/>
        </w:rPr>
        <w:t xml:space="preserve">. </w:t>
      </w:r>
      <w:r w:rsidR="00E0547D">
        <w:rPr>
          <w:rFonts w:eastAsia="ＭＳ ゴシック" w:hint="eastAsia"/>
          <w:b/>
          <w:sz w:val="20"/>
          <w:szCs w:val="20"/>
        </w:rPr>
        <w:t>結果</w:t>
      </w:r>
      <w:r w:rsidR="00D408CD" w:rsidRPr="00D408CD">
        <w:rPr>
          <w:rFonts w:eastAsia="ＭＳ ゴシック"/>
          <w:b/>
          <w:sz w:val="20"/>
          <w:szCs w:val="20"/>
        </w:rPr>
        <w:t>・</w:t>
      </w:r>
      <w:r w:rsidR="00E0547D">
        <w:rPr>
          <w:rFonts w:eastAsia="ＭＳ ゴシック" w:hint="eastAsia"/>
          <w:b/>
          <w:sz w:val="20"/>
          <w:szCs w:val="20"/>
        </w:rPr>
        <w:t>考察</w:t>
      </w:r>
      <w:r w:rsidR="00D408CD" w:rsidRPr="00D408CD">
        <w:rPr>
          <w:rFonts w:eastAsia="ＭＳ ゴシック"/>
          <w:b/>
          <w:sz w:val="20"/>
          <w:szCs w:val="20"/>
        </w:rPr>
        <w:t xml:space="preserve">　</w:t>
      </w:r>
      <w:r w:rsidR="002552F5">
        <w:rPr>
          <w:sz w:val="20"/>
          <w:szCs w:val="20"/>
        </w:rPr>
        <w:t>4.1wt%UO2</w:t>
      </w:r>
      <w:r w:rsidR="002552F5">
        <w:rPr>
          <w:rFonts w:hint="eastAsia"/>
          <w:sz w:val="20"/>
          <w:szCs w:val="20"/>
        </w:rPr>
        <w:t>燃料を用いた</w:t>
      </w:r>
      <w:r w:rsidR="002552F5">
        <w:rPr>
          <w:sz w:val="20"/>
          <w:szCs w:val="20"/>
        </w:rPr>
        <w:t>PWR</w:t>
      </w:r>
      <w:r w:rsidR="002552F5">
        <w:rPr>
          <w:rFonts w:hint="eastAsia"/>
          <w:sz w:val="20"/>
          <w:szCs w:val="20"/>
        </w:rPr>
        <w:t>ピンセル体系</w:t>
      </w:r>
      <w:r w:rsidR="00062032">
        <w:rPr>
          <w:rFonts w:hint="eastAsia"/>
          <w:sz w:val="20"/>
          <w:szCs w:val="20"/>
        </w:rPr>
        <w:t>を考え、統計量を推定する対象のパラメータを</w:t>
      </w:r>
      <w:r w:rsidR="002552F5">
        <w:rPr>
          <w:rFonts w:hint="eastAsia"/>
          <w:sz w:val="20"/>
          <w:szCs w:val="20"/>
        </w:rPr>
        <w:t>各燃焼度での無限増倍率、類似パラメータを燃焼度</w:t>
      </w:r>
      <w:r w:rsidR="002552F5">
        <w:rPr>
          <w:sz w:val="20"/>
          <w:szCs w:val="20"/>
        </w:rPr>
        <w:t>5GWD/</w:t>
      </w:r>
      <w:proofErr w:type="gramStart"/>
      <w:r w:rsidR="002552F5">
        <w:rPr>
          <w:sz w:val="20"/>
          <w:szCs w:val="20"/>
        </w:rPr>
        <w:t>t</w:t>
      </w:r>
      <w:proofErr w:type="gramEnd"/>
      <w:r w:rsidR="002552F5">
        <w:rPr>
          <w:rFonts w:hint="eastAsia"/>
          <w:sz w:val="20"/>
          <w:szCs w:val="20"/>
        </w:rPr>
        <w:t>における</w:t>
      </w:r>
      <w:r w:rsidR="002552F5">
        <w:rPr>
          <w:sz w:val="20"/>
          <w:szCs w:val="20"/>
        </w:rPr>
        <w:t>Pu-239</w:t>
      </w:r>
      <w:r w:rsidR="002552F5">
        <w:rPr>
          <w:rFonts w:hint="eastAsia"/>
          <w:sz w:val="20"/>
          <w:szCs w:val="20"/>
        </w:rPr>
        <w:t>の核種数密度と、</w:t>
      </w:r>
      <w:r w:rsidR="002552F5">
        <w:rPr>
          <w:sz w:val="20"/>
          <w:szCs w:val="20"/>
        </w:rPr>
        <w:t>40GWD/</w:t>
      </w:r>
      <w:proofErr w:type="gramStart"/>
      <w:r w:rsidR="002552F5">
        <w:rPr>
          <w:sz w:val="20"/>
          <w:szCs w:val="20"/>
        </w:rPr>
        <w:t>t</w:t>
      </w:r>
      <w:proofErr w:type="gramEnd"/>
      <w:r w:rsidR="002552F5">
        <w:rPr>
          <w:rFonts w:hint="eastAsia"/>
          <w:sz w:val="20"/>
          <w:szCs w:val="20"/>
        </w:rPr>
        <w:t>における</w:t>
      </w:r>
      <w:r w:rsidR="002552F5">
        <w:rPr>
          <w:sz w:val="20"/>
          <w:szCs w:val="20"/>
        </w:rPr>
        <w:t>Pu-242</w:t>
      </w:r>
      <w:r w:rsidR="002552F5">
        <w:rPr>
          <w:rFonts w:hint="eastAsia"/>
          <w:sz w:val="20"/>
          <w:szCs w:val="20"/>
        </w:rPr>
        <w:t>の核種数密度とし</w:t>
      </w:r>
      <w:r w:rsidR="00196379">
        <w:rPr>
          <w:rFonts w:hint="eastAsia"/>
          <w:sz w:val="20"/>
          <w:szCs w:val="20"/>
        </w:rPr>
        <w:t>た。このとき</w:t>
      </w:r>
      <w:r w:rsidR="00B576C1">
        <w:rPr>
          <w:rFonts w:hint="eastAsia"/>
          <w:sz w:val="20"/>
          <w:szCs w:val="20"/>
        </w:rPr>
        <w:t>の</w:t>
      </w:r>
      <w:r w:rsidR="00196379">
        <w:rPr>
          <w:rFonts w:hint="eastAsia"/>
          <w:sz w:val="20"/>
          <w:szCs w:val="20"/>
        </w:rPr>
        <w:t>類似パラメータは入力に対する変動を一次で近似したものであ</w:t>
      </w:r>
      <w:r w:rsidR="00F82E3A">
        <w:rPr>
          <w:rFonts w:hint="eastAsia"/>
          <w:sz w:val="20"/>
          <w:szCs w:val="20"/>
        </w:rPr>
        <w:t>る。</w:t>
      </w:r>
      <w:r w:rsidR="00B576C1">
        <w:rPr>
          <w:rFonts w:hint="eastAsia"/>
          <w:sz w:val="20"/>
          <w:szCs w:val="20"/>
        </w:rPr>
        <w:t>これら二つのデータは燃焼初期と末期において特に影響が大きいことが判明しているもの</w:t>
      </w:r>
      <w:r w:rsidR="00A55C8F">
        <w:rPr>
          <w:rFonts w:hint="eastAsia"/>
          <w:sz w:val="20"/>
          <w:szCs w:val="20"/>
        </w:rPr>
        <w:t>を</w:t>
      </w:r>
      <w:r w:rsidR="00B576C1">
        <w:rPr>
          <w:rFonts w:hint="eastAsia"/>
          <w:sz w:val="20"/>
          <w:szCs w:val="20"/>
        </w:rPr>
        <w:t>選定した。</w:t>
      </w:r>
      <w:r w:rsidR="0034136B">
        <w:rPr>
          <w:rFonts w:hint="eastAsia"/>
          <w:sz w:val="20"/>
          <w:szCs w:val="20"/>
        </w:rPr>
        <w:t>計算は、まず予め用意された</w:t>
      </w:r>
      <w:r w:rsidR="0034136B">
        <w:rPr>
          <w:rFonts w:hint="eastAsia"/>
          <w:sz w:val="20"/>
          <w:szCs w:val="20"/>
        </w:rPr>
        <w:t>1</w:t>
      </w:r>
      <w:r w:rsidR="0034136B">
        <w:rPr>
          <w:sz w:val="20"/>
          <w:szCs w:val="20"/>
        </w:rPr>
        <w:t>0000</w:t>
      </w:r>
      <w:r w:rsidR="0034136B">
        <w:rPr>
          <w:rFonts w:hint="eastAsia"/>
          <w:sz w:val="20"/>
          <w:szCs w:val="20"/>
        </w:rPr>
        <w:t>個のサンプルから一様乱数によって</w:t>
      </w:r>
      <w:r w:rsidR="0034136B">
        <w:rPr>
          <w:rFonts w:hint="eastAsia"/>
          <w:sz w:val="20"/>
          <w:szCs w:val="20"/>
        </w:rPr>
        <w:t>1</w:t>
      </w:r>
      <w:r w:rsidR="0034136B">
        <w:rPr>
          <w:sz w:val="20"/>
          <w:szCs w:val="20"/>
        </w:rPr>
        <w:t>0000</w:t>
      </w:r>
      <w:r w:rsidR="0034136B">
        <w:rPr>
          <w:rFonts w:hint="eastAsia"/>
          <w:sz w:val="20"/>
          <w:szCs w:val="20"/>
        </w:rPr>
        <w:t>個リサンプリングし、この確率変数の</w:t>
      </w:r>
      <w:r w:rsidR="0093385A">
        <w:rPr>
          <w:rFonts w:hint="eastAsia"/>
          <w:sz w:val="20"/>
          <w:szCs w:val="20"/>
        </w:rPr>
        <w:t>標準偏差</w:t>
      </w:r>
      <w:r w:rsidR="0034136B">
        <w:rPr>
          <w:rFonts w:hint="eastAsia"/>
          <w:sz w:val="20"/>
          <w:szCs w:val="20"/>
        </w:rPr>
        <w:t>を求めた。これを</w:t>
      </w:r>
      <w:r w:rsidR="0034136B">
        <w:rPr>
          <w:rFonts w:hint="eastAsia"/>
          <w:sz w:val="20"/>
          <w:szCs w:val="20"/>
        </w:rPr>
        <w:t>1</w:t>
      </w:r>
      <w:r w:rsidR="0034136B">
        <w:rPr>
          <w:sz w:val="20"/>
          <w:szCs w:val="20"/>
        </w:rPr>
        <w:t>00</w:t>
      </w:r>
      <w:r w:rsidR="0034136B">
        <w:rPr>
          <w:rFonts w:hint="eastAsia"/>
          <w:sz w:val="20"/>
          <w:szCs w:val="20"/>
        </w:rPr>
        <w:t>回繰り返し、得られた</w:t>
      </w:r>
      <w:r w:rsidR="0093385A">
        <w:rPr>
          <w:rFonts w:hint="eastAsia"/>
          <w:sz w:val="20"/>
          <w:szCs w:val="20"/>
        </w:rPr>
        <w:t>1</w:t>
      </w:r>
      <w:r w:rsidR="0093385A">
        <w:rPr>
          <w:sz w:val="20"/>
          <w:szCs w:val="20"/>
        </w:rPr>
        <w:t>00</w:t>
      </w:r>
      <w:r w:rsidR="0093385A">
        <w:rPr>
          <w:rFonts w:hint="eastAsia"/>
          <w:sz w:val="20"/>
          <w:szCs w:val="20"/>
        </w:rPr>
        <w:t>個の標準偏差</w:t>
      </w:r>
      <w:r w:rsidR="0034136B">
        <w:rPr>
          <w:rFonts w:hint="eastAsia"/>
          <w:sz w:val="20"/>
          <w:szCs w:val="20"/>
        </w:rPr>
        <w:t>についてさらに統計的に評価することで、</w:t>
      </w:r>
      <w:r w:rsidR="00B576C1">
        <w:rPr>
          <w:rFonts w:hint="eastAsia"/>
          <w:sz w:val="20"/>
          <w:szCs w:val="20"/>
        </w:rPr>
        <w:t>標準偏差の不確かさ（標準誤差）</w:t>
      </w:r>
      <w:r w:rsidR="00FD123E">
        <w:rPr>
          <w:rFonts w:hint="eastAsia"/>
          <w:sz w:val="20"/>
          <w:szCs w:val="20"/>
        </w:rPr>
        <w:t>を</w:t>
      </w:r>
      <w:r w:rsidR="0093385A">
        <w:rPr>
          <w:rFonts w:hint="eastAsia"/>
          <w:sz w:val="20"/>
          <w:szCs w:val="20"/>
        </w:rPr>
        <w:t>算出</w:t>
      </w:r>
      <w:r w:rsidR="0034136B">
        <w:rPr>
          <w:rFonts w:hint="eastAsia"/>
          <w:sz w:val="20"/>
          <w:szCs w:val="20"/>
        </w:rPr>
        <w:t>した</w:t>
      </w:r>
      <w:r w:rsidR="00B576C1">
        <w:rPr>
          <w:rFonts w:hint="eastAsia"/>
          <w:sz w:val="20"/>
          <w:szCs w:val="20"/>
        </w:rPr>
        <w:t>。計算は</w:t>
      </w:r>
      <w:r w:rsidR="002552F5">
        <w:rPr>
          <w:rFonts w:hint="eastAsia"/>
          <w:sz w:val="20"/>
          <w:szCs w:val="20"/>
        </w:rPr>
        <w:t>単一の類似パラメータを用いた場合と二つを組み合わせた仮想的な類似パラメータを用いた場合の合計</w:t>
      </w:r>
      <w:r w:rsidR="002552F5">
        <w:rPr>
          <w:rFonts w:hint="eastAsia"/>
          <w:sz w:val="20"/>
          <w:szCs w:val="20"/>
        </w:rPr>
        <w:t>3</w:t>
      </w:r>
      <w:r w:rsidR="002552F5">
        <w:rPr>
          <w:rFonts w:hint="eastAsia"/>
          <w:sz w:val="20"/>
          <w:szCs w:val="20"/>
        </w:rPr>
        <w:t>ケース</w:t>
      </w:r>
      <w:r w:rsidR="00B576C1">
        <w:rPr>
          <w:rFonts w:hint="eastAsia"/>
          <w:sz w:val="20"/>
          <w:szCs w:val="20"/>
        </w:rPr>
        <w:t>行った</w:t>
      </w:r>
      <w:r w:rsidR="002552F5">
        <w:rPr>
          <w:rFonts w:hint="eastAsia"/>
          <w:sz w:val="20"/>
          <w:szCs w:val="20"/>
        </w:rPr>
        <w:t>。</w:t>
      </w:r>
      <w:r w:rsidR="009A20E9" w:rsidRPr="009A20E9">
        <w:rPr>
          <w:rFonts w:ascii="ＭＳ 明朝" w:hAnsi="ＭＳ 明朝" w:hint="eastAsia"/>
          <w:bCs/>
          <w:sz w:val="20"/>
          <w:szCs w:val="20"/>
        </w:rPr>
        <w:t>結果を図</w:t>
      </w:r>
      <w:r w:rsidR="009A20E9" w:rsidRPr="009A20E9">
        <w:rPr>
          <w:rFonts w:ascii="ＭＳ 明朝" w:hAnsi="ＭＳ 明朝"/>
          <w:bCs/>
          <w:sz w:val="20"/>
          <w:szCs w:val="20"/>
        </w:rPr>
        <w:t>1</w:t>
      </w:r>
      <w:r w:rsidR="009A20E9" w:rsidRPr="009A20E9">
        <w:rPr>
          <w:rFonts w:ascii="ＭＳ 明朝" w:hAnsi="ＭＳ 明朝" w:hint="eastAsia"/>
          <w:bCs/>
          <w:sz w:val="20"/>
          <w:szCs w:val="20"/>
        </w:rPr>
        <w:t>に示</w:t>
      </w:r>
      <w:r w:rsidR="007052A0">
        <w:rPr>
          <w:rFonts w:ascii="ＭＳ 明朝" w:hAnsi="ＭＳ 明朝" w:hint="eastAsia"/>
          <w:bCs/>
          <w:sz w:val="20"/>
          <w:szCs w:val="20"/>
        </w:rPr>
        <w:t>す。</w:t>
      </w:r>
      <w:r w:rsidR="009A20E9">
        <w:rPr>
          <w:rFonts w:ascii="ＭＳ 明朝" w:hAnsi="ＭＳ 明朝" w:hint="eastAsia"/>
          <w:bCs/>
          <w:sz w:val="20"/>
          <w:szCs w:val="20"/>
        </w:rPr>
        <w:t>縦軸の</w:t>
      </w:r>
      <w:r w:rsidR="009A20E9">
        <w:rPr>
          <w:rFonts w:ascii="ＭＳ 明朝" w:hAnsi="ＭＳ 明朝"/>
          <w:bCs/>
          <w:sz w:val="20"/>
          <w:szCs w:val="20"/>
        </w:rPr>
        <w:t>UR</w:t>
      </w:r>
      <w:r w:rsidR="009A20E9">
        <w:rPr>
          <w:rFonts w:ascii="ＭＳ 明朝" w:hAnsi="ＭＳ 明朝" w:hint="eastAsia"/>
          <w:bCs/>
          <w:sz w:val="20"/>
          <w:szCs w:val="20"/>
        </w:rPr>
        <w:t>は従来の方法で求めた</w:t>
      </w:r>
      <w:r w:rsidR="007052A0">
        <w:rPr>
          <w:rFonts w:ascii="ＭＳ 明朝" w:hAnsi="ＭＳ 明朝" w:hint="eastAsia"/>
          <w:bCs/>
          <w:sz w:val="20"/>
          <w:szCs w:val="20"/>
        </w:rPr>
        <w:t>標準誤差に</w:t>
      </w:r>
      <w:r w:rsidR="009A20E9">
        <w:rPr>
          <w:rFonts w:ascii="ＭＳ 明朝" w:hAnsi="ＭＳ 明朝" w:hint="eastAsia"/>
          <w:bCs/>
          <w:sz w:val="20"/>
          <w:szCs w:val="20"/>
        </w:rPr>
        <w:t>対</w:t>
      </w:r>
      <w:r w:rsidR="007052A0">
        <w:rPr>
          <w:rFonts w:ascii="ＭＳ 明朝" w:hAnsi="ＭＳ 明朝" w:hint="eastAsia"/>
          <w:bCs/>
          <w:sz w:val="20"/>
          <w:szCs w:val="20"/>
        </w:rPr>
        <w:t>する</w:t>
      </w:r>
      <w:r w:rsidR="009A20E9">
        <w:rPr>
          <w:rFonts w:ascii="ＭＳ 明朝" w:hAnsi="ＭＳ 明朝"/>
          <w:bCs/>
          <w:sz w:val="20"/>
          <w:szCs w:val="20"/>
        </w:rPr>
        <w:t>CV-S</w:t>
      </w:r>
      <w:r w:rsidR="009A20E9">
        <w:rPr>
          <w:rFonts w:ascii="ＭＳ 明朝" w:hAnsi="ＭＳ 明朝" w:hint="eastAsia"/>
          <w:bCs/>
          <w:sz w:val="20"/>
          <w:szCs w:val="20"/>
        </w:rPr>
        <w:t>法を用いた場合の</w:t>
      </w:r>
      <w:r w:rsidR="007052A0">
        <w:rPr>
          <w:rFonts w:ascii="ＭＳ 明朝" w:hAnsi="ＭＳ 明朝" w:hint="eastAsia"/>
          <w:bCs/>
          <w:sz w:val="20"/>
          <w:szCs w:val="20"/>
        </w:rPr>
        <w:t>標準誤差の比</w:t>
      </w:r>
      <w:r w:rsidR="00062032">
        <w:rPr>
          <w:rFonts w:ascii="ＭＳ 明朝" w:hAnsi="ＭＳ 明朝" w:hint="eastAsia"/>
          <w:bCs/>
          <w:sz w:val="20"/>
          <w:szCs w:val="20"/>
        </w:rPr>
        <w:t>を示す。</w:t>
      </w:r>
      <w:r w:rsidR="003D7171">
        <w:rPr>
          <w:rFonts w:ascii="ＭＳ 明朝" w:hAnsi="ＭＳ 明朝" w:hint="eastAsia"/>
          <w:bCs/>
          <w:sz w:val="20"/>
          <w:szCs w:val="20"/>
        </w:rPr>
        <w:t>単一パラメータを用いた場合</w:t>
      </w:r>
      <w:r w:rsidR="007052A0">
        <w:rPr>
          <w:rFonts w:ascii="ＭＳ 明朝" w:hAnsi="ＭＳ 明朝" w:hint="eastAsia"/>
          <w:bCs/>
          <w:sz w:val="20"/>
          <w:szCs w:val="20"/>
        </w:rPr>
        <w:t>と比較</w:t>
      </w:r>
      <w:r w:rsidR="003D7171">
        <w:rPr>
          <w:rFonts w:ascii="ＭＳ 明朝" w:hAnsi="ＭＳ 明朝" w:hint="eastAsia"/>
          <w:bCs/>
          <w:sz w:val="20"/>
          <w:szCs w:val="20"/>
        </w:rPr>
        <w:t>して、仮想的なパラメータを用いた場合は全体を通して誤差の低減がなされており、類似パラメータの組み合わせが有効であることがわかる。しかし、使用した</w:t>
      </w:r>
      <w:r w:rsidR="002B3247">
        <w:rPr>
          <w:rFonts w:ascii="ＭＳ 明朝" w:hAnsi="ＭＳ 明朝" w:hint="eastAsia"/>
          <w:bCs/>
          <w:sz w:val="20"/>
          <w:szCs w:val="20"/>
        </w:rPr>
        <w:t>類似パラメータと対象パラメータ</w:t>
      </w:r>
      <w:r w:rsidR="003D7171">
        <w:rPr>
          <w:rFonts w:ascii="ＭＳ 明朝" w:hAnsi="ＭＳ 明朝" w:hint="eastAsia"/>
          <w:bCs/>
          <w:sz w:val="20"/>
          <w:szCs w:val="20"/>
        </w:rPr>
        <w:t>の相関が最大で0</w:t>
      </w:r>
      <w:r w:rsidR="003D7171">
        <w:rPr>
          <w:rFonts w:ascii="ＭＳ 明朝" w:hAnsi="ＭＳ 明朝"/>
          <w:bCs/>
          <w:sz w:val="20"/>
          <w:szCs w:val="20"/>
        </w:rPr>
        <w:t>.7</w:t>
      </w:r>
      <w:r w:rsidR="003D7171">
        <w:rPr>
          <w:rFonts w:ascii="ＭＳ 明朝" w:hAnsi="ＭＳ 明朝" w:hint="eastAsia"/>
          <w:bCs/>
          <w:sz w:val="20"/>
          <w:szCs w:val="20"/>
        </w:rPr>
        <w:t>程度と十分ではなかったため、</w:t>
      </w:r>
      <w:r w:rsidR="00B576C1">
        <w:rPr>
          <w:rFonts w:ascii="ＭＳ 明朝" w:hAnsi="ＭＳ 明朝"/>
          <w:bCs/>
          <w:sz w:val="20"/>
          <w:szCs w:val="20"/>
        </w:rPr>
        <w:t>UR</w:t>
      </w:r>
      <w:r w:rsidR="00B576C1">
        <w:rPr>
          <w:rFonts w:ascii="ＭＳ 明朝" w:hAnsi="ＭＳ 明朝" w:hint="eastAsia"/>
          <w:bCs/>
          <w:sz w:val="20"/>
          <w:szCs w:val="20"/>
        </w:rPr>
        <w:t>の値と</w:t>
      </w:r>
      <w:r w:rsidR="002B3247">
        <w:rPr>
          <w:rFonts w:ascii="ＭＳ 明朝" w:hAnsi="ＭＳ 明朝" w:hint="eastAsia"/>
          <w:bCs/>
          <w:sz w:val="20"/>
          <w:szCs w:val="20"/>
        </w:rPr>
        <w:t>しては</w:t>
      </w:r>
      <w:r w:rsidR="00A55C8F">
        <w:rPr>
          <w:rFonts w:ascii="ＭＳ 明朝" w:hAnsi="ＭＳ 明朝" w:hint="eastAsia"/>
          <w:bCs/>
          <w:sz w:val="20"/>
          <w:szCs w:val="20"/>
        </w:rPr>
        <w:t>満足な</w:t>
      </w:r>
      <w:r w:rsidR="002B3247">
        <w:rPr>
          <w:rFonts w:ascii="ＭＳ 明朝" w:hAnsi="ＭＳ 明朝" w:hint="eastAsia"/>
          <w:bCs/>
          <w:sz w:val="20"/>
          <w:szCs w:val="20"/>
        </w:rPr>
        <w:t>結果を得られなかった。この問題は、より相関の高いデータを用いる</w:t>
      </w:r>
      <w:r w:rsidR="00196379">
        <w:rPr>
          <w:rFonts w:ascii="ＭＳ 明朝" w:hAnsi="ＭＳ 明朝" w:hint="eastAsia"/>
          <w:bCs/>
          <w:sz w:val="20"/>
          <w:szCs w:val="20"/>
        </w:rPr>
        <w:t>ことや</w:t>
      </w:r>
      <w:r w:rsidR="002B3247">
        <w:rPr>
          <w:rFonts w:ascii="ＭＳ 明朝" w:hAnsi="ＭＳ 明朝" w:hint="eastAsia"/>
          <w:bCs/>
          <w:sz w:val="20"/>
          <w:szCs w:val="20"/>
        </w:rPr>
        <w:t>、使用する類似パラメータの数を増やすことで解決する</w:t>
      </w:r>
      <w:r w:rsidR="00062032">
        <w:rPr>
          <w:rFonts w:ascii="ＭＳ 明朝" w:hAnsi="ＭＳ 明朝" w:hint="eastAsia"/>
          <w:bCs/>
          <w:sz w:val="20"/>
          <w:szCs w:val="20"/>
        </w:rPr>
        <w:t>と考えられる。</w:t>
      </w:r>
    </w:p>
    <w:sectPr w:rsidR="0013619D" w:rsidRPr="00B576C1" w:rsidSect="00E247BE">
      <w:pgSz w:w="11906" w:h="16838"/>
      <w:pgMar w:top="1134" w:right="1134" w:bottom="1134" w:left="1134" w:header="567" w:footer="567" w:gutter="0"/>
      <w:cols w:space="425"/>
      <w:docGrid w:type="linesAndChar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822A77" w14:textId="77777777" w:rsidR="00763B8D" w:rsidRDefault="00763B8D">
      <w:r>
        <w:separator/>
      </w:r>
    </w:p>
  </w:endnote>
  <w:endnote w:type="continuationSeparator" w:id="0">
    <w:p w14:paraId="70AF5060" w14:textId="77777777" w:rsidR="00763B8D" w:rsidRDefault="00763B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modern"/>
    <w:pitch w:val="fixed"/>
    <w:sig w:usb0="E00002FF" w:usb1="6AC7FDFB" w:usb2="08000012" w:usb3="00000000" w:csb0="0002009F" w:csb1="00000000"/>
  </w:font>
  <w:font w:name="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7FB7A2" w14:textId="77777777" w:rsidR="00763B8D" w:rsidRDefault="00763B8D">
      <w:r>
        <w:separator/>
      </w:r>
    </w:p>
  </w:footnote>
  <w:footnote w:type="continuationSeparator" w:id="0">
    <w:p w14:paraId="153B2AA7" w14:textId="77777777" w:rsidR="00763B8D" w:rsidRDefault="00763B8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A16031"/>
    <w:multiLevelType w:val="hybridMultilevel"/>
    <w:tmpl w:val="B486030A"/>
    <w:lvl w:ilvl="0" w:tplc="B7D62646">
      <w:start w:val="1"/>
      <w:numFmt w:val="decimal"/>
      <w:lvlText w:val="%1."/>
      <w:lvlJc w:val="left"/>
      <w:pPr>
        <w:ind w:left="360" w:hanging="360"/>
      </w:pPr>
      <w:rPr>
        <w:rFonts w:eastAsia="ＭＳ ゴシック" w:hint="default"/>
        <w:b/>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16cid:durableId="16909150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bordersDoNotSurroundHeader/>
  <w:bordersDoNotSurroundFooter/>
  <w:proofState w:spelling="clean" w:grammar="clean"/>
  <w:defaultTabStop w:val="840"/>
  <w:drawingGridHorizontalSpacing w:val="10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2F3F"/>
    <w:rsid w:val="000014E5"/>
    <w:rsid w:val="00002AEF"/>
    <w:rsid w:val="00004837"/>
    <w:rsid w:val="00010CAF"/>
    <w:rsid w:val="00012A51"/>
    <w:rsid w:val="000221A4"/>
    <w:rsid w:val="0002606A"/>
    <w:rsid w:val="00030267"/>
    <w:rsid w:val="00032374"/>
    <w:rsid w:val="00032DEF"/>
    <w:rsid w:val="0003646C"/>
    <w:rsid w:val="000364C8"/>
    <w:rsid w:val="00036B39"/>
    <w:rsid w:val="000464B6"/>
    <w:rsid w:val="000509A5"/>
    <w:rsid w:val="00053656"/>
    <w:rsid w:val="00054CBD"/>
    <w:rsid w:val="00055BD8"/>
    <w:rsid w:val="00061589"/>
    <w:rsid w:val="00062032"/>
    <w:rsid w:val="00063981"/>
    <w:rsid w:val="000754DE"/>
    <w:rsid w:val="000763FA"/>
    <w:rsid w:val="000930B8"/>
    <w:rsid w:val="000954CF"/>
    <w:rsid w:val="00096932"/>
    <w:rsid w:val="000A04FE"/>
    <w:rsid w:val="000B2B8B"/>
    <w:rsid w:val="000B410B"/>
    <w:rsid w:val="000B6371"/>
    <w:rsid w:val="000C25E4"/>
    <w:rsid w:val="000D0D12"/>
    <w:rsid w:val="000D56E4"/>
    <w:rsid w:val="000D7DBE"/>
    <w:rsid w:val="000E4D9B"/>
    <w:rsid w:val="000E7864"/>
    <w:rsid w:val="000F1D3A"/>
    <w:rsid w:val="000F391B"/>
    <w:rsid w:val="000F3E46"/>
    <w:rsid w:val="000F479A"/>
    <w:rsid w:val="000F554A"/>
    <w:rsid w:val="000F73CA"/>
    <w:rsid w:val="00107D9F"/>
    <w:rsid w:val="00110F2C"/>
    <w:rsid w:val="0012226C"/>
    <w:rsid w:val="001225A8"/>
    <w:rsid w:val="0012654F"/>
    <w:rsid w:val="00130A4F"/>
    <w:rsid w:val="0013287B"/>
    <w:rsid w:val="00132B69"/>
    <w:rsid w:val="0013619D"/>
    <w:rsid w:val="001421F8"/>
    <w:rsid w:val="00146C85"/>
    <w:rsid w:val="001476E3"/>
    <w:rsid w:val="00150A95"/>
    <w:rsid w:val="00162B07"/>
    <w:rsid w:val="00163FE0"/>
    <w:rsid w:val="0016645D"/>
    <w:rsid w:val="00173E56"/>
    <w:rsid w:val="00174CDD"/>
    <w:rsid w:val="00184DBF"/>
    <w:rsid w:val="00186DD6"/>
    <w:rsid w:val="0019101C"/>
    <w:rsid w:val="00196379"/>
    <w:rsid w:val="00196446"/>
    <w:rsid w:val="001A2698"/>
    <w:rsid w:val="001B3A73"/>
    <w:rsid w:val="001B5EE9"/>
    <w:rsid w:val="001B70EF"/>
    <w:rsid w:val="001C1755"/>
    <w:rsid w:val="001D1EED"/>
    <w:rsid w:val="001D3F25"/>
    <w:rsid w:val="001D7773"/>
    <w:rsid w:val="001E74BD"/>
    <w:rsid w:val="0020161C"/>
    <w:rsid w:val="00204366"/>
    <w:rsid w:val="0020708E"/>
    <w:rsid w:val="00213B5A"/>
    <w:rsid w:val="00213E58"/>
    <w:rsid w:val="00220533"/>
    <w:rsid w:val="00221A3F"/>
    <w:rsid w:val="00231775"/>
    <w:rsid w:val="00236CEE"/>
    <w:rsid w:val="00241282"/>
    <w:rsid w:val="002425ED"/>
    <w:rsid w:val="00246D76"/>
    <w:rsid w:val="002552F5"/>
    <w:rsid w:val="002558B3"/>
    <w:rsid w:val="00256F07"/>
    <w:rsid w:val="00257262"/>
    <w:rsid w:val="00264472"/>
    <w:rsid w:val="00275BAD"/>
    <w:rsid w:val="00280A5F"/>
    <w:rsid w:val="0028189A"/>
    <w:rsid w:val="00282746"/>
    <w:rsid w:val="00291E75"/>
    <w:rsid w:val="002A022D"/>
    <w:rsid w:val="002A4F94"/>
    <w:rsid w:val="002A798C"/>
    <w:rsid w:val="002B1B8F"/>
    <w:rsid w:val="002B3247"/>
    <w:rsid w:val="002C019D"/>
    <w:rsid w:val="002C3CB2"/>
    <w:rsid w:val="002D37BD"/>
    <w:rsid w:val="002E2847"/>
    <w:rsid w:val="002E46D4"/>
    <w:rsid w:val="002E7E6C"/>
    <w:rsid w:val="002F545B"/>
    <w:rsid w:val="002F71FE"/>
    <w:rsid w:val="00302410"/>
    <w:rsid w:val="0030466D"/>
    <w:rsid w:val="00304FA1"/>
    <w:rsid w:val="00307E80"/>
    <w:rsid w:val="003109A1"/>
    <w:rsid w:val="00314B6F"/>
    <w:rsid w:val="00325E45"/>
    <w:rsid w:val="00334F88"/>
    <w:rsid w:val="0034136B"/>
    <w:rsid w:val="00343B08"/>
    <w:rsid w:val="00343DF4"/>
    <w:rsid w:val="0034694A"/>
    <w:rsid w:val="00352324"/>
    <w:rsid w:val="00353544"/>
    <w:rsid w:val="003565D5"/>
    <w:rsid w:val="0036728B"/>
    <w:rsid w:val="003728FA"/>
    <w:rsid w:val="00376B67"/>
    <w:rsid w:val="003844FC"/>
    <w:rsid w:val="00384F89"/>
    <w:rsid w:val="00385B48"/>
    <w:rsid w:val="00386388"/>
    <w:rsid w:val="00391641"/>
    <w:rsid w:val="00393632"/>
    <w:rsid w:val="00396349"/>
    <w:rsid w:val="003A5C85"/>
    <w:rsid w:val="003B145A"/>
    <w:rsid w:val="003B4349"/>
    <w:rsid w:val="003B7554"/>
    <w:rsid w:val="003B7B1B"/>
    <w:rsid w:val="003C2725"/>
    <w:rsid w:val="003D0001"/>
    <w:rsid w:val="003D420E"/>
    <w:rsid w:val="003D7171"/>
    <w:rsid w:val="003E04A0"/>
    <w:rsid w:val="003E0A4A"/>
    <w:rsid w:val="003E26E7"/>
    <w:rsid w:val="003F3ACB"/>
    <w:rsid w:val="00400E3E"/>
    <w:rsid w:val="00402E46"/>
    <w:rsid w:val="004053C3"/>
    <w:rsid w:val="0041345C"/>
    <w:rsid w:val="00422623"/>
    <w:rsid w:val="00422EF0"/>
    <w:rsid w:val="00425B0F"/>
    <w:rsid w:val="00433513"/>
    <w:rsid w:val="004500A8"/>
    <w:rsid w:val="00457147"/>
    <w:rsid w:val="00463DBA"/>
    <w:rsid w:val="00472973"/>
    <w:rsid w:val="00473A32"/>
    <w:rsid w:val="00477512"/>
    <w:rsid w:val="00482F1F"/>
    <w:rsid w:val="00490116"/>
    <w:rsid w:val="00490AC7"/>
    <w:rsid w:val="00491486"/>
    <w:rsid w:val="004969AA"/>
    <w:rsid w:val="004A3F62"/>
    <w:rsid w:val="004C1B63"/>
    <w:rsid w:val="004C2BA0"/>
    <w:rsid w:val="004D10CF"/>
    <w:rsid w:val="004D4399"/>
    <w:rsid w:val="004D7F86"/>
    <w:rsid w:val="004E2E34"/>
    <w:rsid w:val="004E758E"/>
    <w:rsid w:val="004F0DA8"/>
    <w:rsid w:val="004F154D"/>
    <w:rsid w:val="004F3407"/>
    <w:rsid w:val="004F615E"/>
    <w:rsid w:val="004F7ABD"/>
    <w:rsid w:val="004F7F00"/>
    <w:rsid w:val="004F7F46"/>
    <w:rsid w:val="0050484A"/>
    <w:rsid w:val="00510FBB"/>
    <w:rsid w:val="00512C86"/>
    <w:rsid w:val="00513D1F"/>
    <w:rsid w:val="00517303"/>
    <w:rsid w:val="00517EB9"/>
    <w:rsid w:val="005213A8"/>
    <w:rsid w:val="00523647"/>
    <w:rsid w:val="005275CC"/>
    <w:rsid w:val="00550CAB"/>
    <w:rsid w:val="00553E95"/>
    <w:rsid w:val="00555727"/>
    <w:rsid w:val="00562C57"/>
    <w:rsid w:val="00563403"/>
    <w:rsid w:val="00571828"/>
    <w:rsid w:val="0057579F"/>
    <w:rsid w:val="005777F9"/>
    <w:rsid w:val="00580016"/>
    <w:rsid w:val="00580887"/>
    <w:rsid w:val="00580A30"/>
    <w:rsid w:val="0058428E"/>
    <w:rsid w:val="0058670E"/>
    <w:rsid w:val="00587ECE"/>
    <w:rsid w:val="00595EC5"/>
    <w:rsid w:val="00596B17"/>
    <w:rsid w:val="005A04FF"/>
    <w:rsid w:val="005A2563"/>
    <w:rsid w:val="005A427B"/>
    <w:rsid w:val="005C09F0"/>
    <w:rsid w:val="005C7701"/>
    <w:rsid w:val="005C787D"/>
    <w:rsid w:val="005D21BA"/>
    <w:rsid w:val="005D3E9F"/>
    <w:rsid w:val="005E1FD8"/>
    <w:rsid w:val="005E2B22"/>
    <w:rsid w:val="005E39A1"/>
    <w:rsid w:val="005F29AB"/>
    <w:rsid w:val="005F2AF8"/>
    <w:rsid w:val="00602927"/>
    <w:rsid w:val="0061182C"/>
    <w:rsid w:val="006127C9"/>
    <w:rsid w:val="00612BB0"/>
    <w:rsid w:val="00615941"/>
    <w:rsid w:val="00617E67"/>
    <w:rsid w:val="0062710C"/>
    <w:rsid w:val="00627B5E"/>
    <w:rsid w:val="00630600"/>
    <w:rsid w:val="00632203"/>
    <w:rsid w:val="00634BEA"/>
    <w:rsid w:val="006367F1"/>
    <w:rsid w:val="00636890"/>
    <w:rsid w:val="00637DFA"/>
    <w:rsid w:val="00640028"/>
    <w:rsid w:val="00640043"/>
    <w:rsid w:val="00640346"/>
    <w:rsid w:val="00644DFF"/>
    <w:rsid w:val="00645909"/>
    <w:rsid w:val="00651561"/>
    <w:rsid w:val="00652397"/>
    <w:rsid w:val="00656C8A"/>
    <w:rsid w:val="00657335"/>
    <w:rsid w:val="00660824"/>
    <w:rsid w:val="00660C20"/>
    <w:rsid w:val="00660F4B"/>
    <w:rsid w:val="006616F6"/>
    <w:rsid w:val="00670028"/>
    <w:rsid w:val="00672B93"/>
    <w:rsid w:val="00674A40"/>
    <w:rsid w:val="00675825"/>
    <w:rsid w:val="00675C9B"/>
    <w:rsid w:val="00682EB7"/>
    <w:rsid w:val="00687DD3"/>
    <w:rsid w:val="006918A2"/>
    <w:rsid w:val="00694677"/>
    <w:rsid w:val="006A34F6"/>
    <w:rsid w:val="006A4E24"/>
    <w:rsid w:val="006B0083"/>
    <w:rsid w:val="006B1C37"/>
    <w:rsid w:val="006C6D49"/>
    <w:rsid w:val="006D73E4"/>
    <w:rsid w:val="006E243B"/>
    <w:rsid w:val="006E293A"/>
    <w:rsid w:val="006E7199"/>
    <w:rsid w:val="006F0475"/>
    <w:rsid w:val="006F666B"/>
    <w:rsid w:val="00700056"/>
    <w:rsid w:val="007007F0"/>
    <w:rsid w:val="007041C6"/>
    <w:rsid w:val="007052A0"/>
    <w:rsid w:val="00705445"/>
    <w:rsid w:val="00707880"/>
    <w:rsid w:val="00707FC6"/>
    <w:rsid w:val="00711A88"/>
    <w:rsid w:val="00713B64"/>
    <w:rsid w:val="00720F2E"/>
    <w:rsid w:val="00721B08"/>
    <w:rsid w:val="00726E05"/>
    <w:rsid w:val="007336C8"/>
    <w:rsid w:val="00744227"/>
    <w:rsid w:val="00745854"/>
    <w:rsid w:val="007514B7"/>
    <w:rsid w:val="007546F5"/>
    <w:rsid w:val="00762BF4"/>
    <w:rsid w:val="00763B8D"/>
    <w:rsid w:val="0077314B"/>
    <w:rsid w:val="00781971"/>
    <w:rsid w:val="007831DF"/>
    <w:rsid w:val="00791544"/>
    <w:rsid w:val="00791F8A"/>
    <w:rsid w:val="00792346"/>
    <w:rsid w:val="0079770E"/>
    <w:rsid w:val="007A18F3"/>
    <w:rsid w:val="007A44C6"/>
    <w:rsid w:val="007A5C5E"/>
    <w:rsid w:val="007B0C1C"/>
    <w:rsid w:val="007C25C2"/>
    <w:rsid w:val="007C4F46"/>
    <w:rsid w:val="007D1689"/>
    <w:rsid w:val="007D5075"/>
    <w:rsid w:val="007E1A1F"/>
    <w:rsid w:val="007E2C04"/>
    <w:rsid w:val="007E2FEA"/>
    <w:rsid w:val="007E5F25"/>
    <w:rsid w:val="007E6DDA"/>
    <w:rsid w:val="007F249C"/>
    <w:rsid w:val="007F25F7"/>
    <w:rsid w:val="00804DE0"/>
    <w:rsid w:val="00805481"/>
    <w:rsid w:val="00814EDB"/>
    <w:rsid w:val="008234A8"/>
    <w:rsid w:val="00823AFB"/>
    <w:rsid w:val="008245E6"/>
    <w:rsid w:val="0082728F"/>
    <w:rsid w:val="008314CC"/>
    <w:rsid w:val="00831681"/>
    <w:rsid w:val="00835811"/>
    <w:rsid w:val="008414CB"/>
    <w:rsid w:val="00841BC2"/>
    <w:rsid w:val="00844E36"/>
    <w:rsid w:val="00846880"/>
    <w:rsid w:val="0085260F"/>
    <w:rsid w:val="00853222"/>
    <w:rsid w:val="00861435"/>
    <w:rsid w:val="00862586"/>
    <w:rsid w:val="008628EF"/>
    <w:rsid w:val="00863BD7"/>
    <w:rsid w:val="00864C07"/>
    <w:rsid w:val="00866246"/>
    <w:rsid w:val="00870F6A"/>
    <w:rsid w:val="008762C9"/>
    <w:rsid w:val="00877519"/>
    <w:rsid w:val="008861EE"/>
    <w:rsid w:val="00897C2D"/>
    <w:rsid w:val="008A1214"/>
    <w:rsid w:val="008A4D64"/>
    <w:rsid w:val="008A6CE6"/>
    <w:rsid w:val="008B0F60"/>
    <w:rsid w:val="008B232B"/>
    <w:rsid w:val="008B582C"/>
    <w:rsid w:val="008B62CF"/>
    <w:rsid w:val="008C6A97"/>
    <w:rsid w:val="008D2859"/>
    <w:rsid w:val="008D32EC"/>
    <w:rsid w:val="008D36B4"/>
    <w:rsid w:val="008E17B7"/>
    <w:rsid w:val="008E2971"/>
    <w:rsid w:val="008E38E7"/>
    <w:rsid w:val="008E54DF"/>
    <w:rsid w:val="008F21C5"/>
    <w:rsid w:val="00904B07"/>
    <w:rsid w:val="0090753A"/>
    <w:rsid w:val="00912DFE"/>
    <w:rsid w:val="00921800"/>
    <w:rsid w:val="0092263A"/>
    <w:rsid w:val="00923638"/>
    <w:rsid w:val="0093385A"/>
    <w:rsid w:val="00933E39"/>
    <w:rsid w:val="009343B3"/>
    <w:rsid w:val="009375F2"/>
    <w:rsid w:val="00942F3F"/>
    <w:rsid w:val="009436EE"/>
    <w:rsid w:val="00943ABF"/>
    <w:rsid w:val="0094499E"/>
    <w:rsid w:val="009520A8"/>
    <w:rsid w:val="00954A04"/>
    <w:rsid w:val="00956AB0"/>
    <w:rsid w:val="0096459A"/>
    <w:rsid w:val="0096505D"/>
    <w:rsid w:val="009721F7"/>
    <w:rsid w:val="009768A3"/>
    <w:rsid w:val="0097700A"/>
    <w:rsid w:val="00977971"/>
    <w:rsid w:val="00986AA2"/>
    <w:rsid w:val="00997C61"/>
    <w:rsid w:val="009A1C41"/>
    <w:rsid w:val="009A1EB4"/>
    <w:rsid w:val="009A20E9"/>
    <w:rsid w:val="009B68E1"/>
    <w:rsid w:val="009C5435"/>
    <w:rsid w:val="009C5749"/>
    <w:rsid w:val="009D0E3F"/>
    <w:rsid w:val="009D2158"/>
    <w:rsid w:val="009D2EBF"/>
    <w:rsid w:val="009D3738"/>
    <w:rsid w:val="009D78E0"/>
    <w:rsid w:val="009D7EBD"/>
    <w:rsid w:val="009E06E8"/>
    <w:rsid w:val="009F0440"/>
    <w:rsid w:val="009F648F"/>
    <w:rsid w:val="00A001DB"/>
    <w:rsid w:val="00A0249A"/>
    <w:rsid w:val="00A02B09"/>
    <w:rsid w:val="00A0721D"/>
    <w:rsid w:val="00A10FF4"/>
    <w:rsid w:val="00A1262B"/>
    <w:rsid w:val="00A14F26"/>
    <w:rsid w:val="00A155E8"/>
    <w:rsid w:val="00A376B0"/>
    <w:rsid w:val="00A42FAA"/>
    <w:rsid w:val="00A4301D"/>
    <w:rsid w:val="00A45CB8"/>
    <w:rsid w:val="00A46CCA"/>
    <w:rsid w:val="00A51117"/>
    <w:rsid w:val="00A535CD"/>
    <w:rsid w:val="00A5538E"/>
    <w:rsid w:val="00A55628"/>
    <w:rsid w:val="00A55C8F"/>
    <w:rsid w:val="00A57A79"/>
    <w:rsid w:val="00A63A33"/>
    <w:rsid w:val="00A6420D"/>
    <w:rsid w:val="00A660E1"/>
    <w:rsid w:val="00A7112C"/>
    <w:rsid w:val="00A738C5"/>
    <w:rsid w:val="00A74181"/>
    <w:rsid w:val="00A76C1C"/>
    <w:rsid w:val="00A77A0C"/>
    <w:rsid w:val="00A807A2"/>
    <w:rsid w:val="00A812AA"/>
    <w:rsid w:val="00A83FFB"/>
    <w:rsid w:val="00A90B87"/>
    <w:rsid w:val="00A90D15"/>
    <w:rsid w:val="00A9698C"/>
    <w:rsid w:val="00AA32E3"/>
    <w:rsid w:val="00AA722B"/>
    <w:rsid w:val="00AB1931"/>
    <w:rsid w:val="00AB1BE5"/>
    <w:rsid w:val="00AB3FCF"/>
    <w:rsid w:val="00AC664E"/>
    <w:rsid w:val="00AC7A65"/>
    <w:rsid w:val="00AD0CC7"/>
    <w:rsid w:val="00AD62ED"/>
    <w:rsid w:val="00AE0CF0"/>
    <w:rsid w:val="00AE5067"/>
    <w:rsid w:val="00AE540B"/>
    <w:rsid w:val="00AF0217"/>
    <w:rsid w:val="00AF041F"/>
    <w:rsid w:val="00AF2EB0"/>
    <w:rsid w:val="00AF5ABA"/>
    <w:rsid w:val="00B01E46"/>
    <w:rsid w:val="00B04FB9"/>
    <w:rsid w:val="00B05306"/>
    <w:rsid w:val="00B10E90"/>
    <w:rsid w:val="00B220C8"/>
    <w:rsid w:val="00B22867"/>
    <w:rsid w:val="00B255DC"/>
    <w:rsid w:val="00B2759E"/>
    <w:rsid w:val="00B278D9"/>
    <w:rsid w:val="00B46CB2"/>
    <w:rsid w:val="00B54EAC"/>
    <w:rsid w:val="00B576C1"/>
    <w:rsid w:val="00B57E7D"/>
    <w:rsid w:val="00B628DD"/>
    <w:rsid w:val="00B62928"/>
    <w:rsid w:val="00B65B0C"/>
    <w:rsid w:val="00B7587D"/>
    <w:rsid w:val="00B76FB0"/>
    <w:rsid w:val="00B77A43"/>
    <w:rsid w:val="00B8739B"/>
    <w:rsid w:val="00B95846"/>
    <w:rsid w:val="00B96BB4"/>
    <w:rsid w:val="00B97120"/>
    <w:rsid w:val="00BA074F"/>
    <w:rsid w:val="00BA1FBC"/>
    <w:rsid w:val="00BA27E5"/>
    <w:rsid w:val="00BA32A5"/>
    <w:rsid w:val="00BA4F75"/>
    <w:rsid w:val="00BB1F17"/>
    <w:rsid w:val="00BB2D24"/>
    <w:rsid w:val="00BB7333"/>
    <w:rsid w:val="00BC6EC2"/>
    <w:rsid w:val="00BD75CA"/>
    <w:rsid w:val="00BE5BDD"/>
    <w:rsid w:val="00BE65C4"/>
    <w:rsid w:val="00BF0EB0"/>
    <w:rsid w:val="00BF3CA6"/>
    <w:rsid w:val="00C00657"/>
    <w:rsid w:val="00C01F28"/>
    <w:rsid w:val="00C02EC0"/>
    <w:rsid w:val="00C05FB2"/>
    <w:rsid w:val="00C06889"/>
    <w:rsid w:val="00C10063"/>
    <w:rsid w:val="00C21ABC"/>
    <w:rsid w:val="00C24DA4"/>
    <w:rsid w:val="00C2649C"/>
    <w:rsid w:val="00C301C7"/>
    <w:rsid w:val="00C3211F"/>
    <w:rsid w:val="00C32743"/>
    <w:rsid w:val="00C32D3D"/>
    <w:rsid w:val="00C3406A"/>
    <w:rsid w:val="00C344AD"/>
    <w:rsid w:val="00C34A7F"/>
    <w:rsid w:val="00C35991"/>
    <w:rsid w:val="00C36BD2"/>
    <w:rsid w:val="00C409CC"/>
    <w:rsid w:val="00C44528"/>
    <w:rsid w:val="00C44BBB"/>
    <w:rsid w:val="00C4646F"/>
    <w:rsid w:val="00C53EEA"/>
    <w:rsid w:val="00C62073"/>
    <w:rsid w:val="00C64CAC"/>
    <w:rsid w:val="00C72362"/>
    <w:rsid w:val="00C72490"/>
    <w:rsid w:val="00C727A6"/>
    <w:rsid w:val="00C80336"/>
    <w:rsid w:val="00C83E5C"/>
    <w:rsid w:val="00C8526A"/>
    <w:rsid w:val="00C90EC5"/>
    <w:rsid w:val="00C91507"/>
    <w:rsid w:val="00C93A5A"/>
    <w:rsid w:val="00C9646E"/>
    <w:rsid w:val="00CA319C"/>
    <w:rsid w:val="00CA584B"/>
    <w:rsid w:val="00CA6601"/>
    <w:rsid w:val="00CB0262"/>
    <w:rsid w:val="00CB0E80"/>
    <w:rsid w:val="00CB3325"/>
    <w:rsid w:val="00CB3788"/>
    <w:rsid w:val="00CB3FE9"/>
    <w:rsid w:val="00CB42C8"/>
    <w:rsid w:val="00CB529B"/>
    <w:rsid w:val="00CB6B13"/>
    <w:rsid w:val="00CB7712"/>
    <w:rsid w:val="00CC595A"/>
    <w:rsid w:val="00CC60D7"/>
    <w:rsid w:val="00CD73C6"/>
    <w:rsid w:val="00CE137F"/>
    <w:rsid w:val="00CE2870"/>
    <w:rsid w:val="00CE5A86"/>
    <w:rsid w:val="00CE6260"/>
    <w:rsid w:val="00CE7B24"/>
    <w:rsid w:val="00D00149"/>
    <w:rsid w:val="00D002A9"/>
    <w:rsid w:val="00D02068"/>
    <w:rsid w:val="00D04AC5"/>
    <w:rsid w:val="00D0758E"/>
    <w:rsid w:val="00D12428"/>
    <w:rsid w:val="00D14E19"/>
    <w:rsid w:val="00D15B43"/>
    <w:rsid w:val="00D17C85"/>
    <w:rsid w:val="00D313B7"/>
    <w:rsid w:val="00D33944"/>
    <w:rsid w:val="00D348D3"/>
    <w:rsid w:val="00D403F0"/>
    <w:rsid w:val="00D408CD"/>
    <w:rsid w:val="00D44396"/>
    <w:rsid w:val="00D45FE8"/>
    <w:rsid w:val="00D46887"/>
    <w:rsid w:val="00D46A09"/>
    <w:rsid w:val="00D519FF"/>
    <w:rsid w:val="00D54A95"/>
    <w:rsid w:val="00D6496D"/>
    <w:rsid w:val="00D65958"/>
    <w:rsid w:val="00D92202"/>
    <w:rsid w:val="00D93FE8"/>
    <w:rsid w:val="00D96111"/>
    <w:rsid w:val="00DA0BD7"/>
    <w:rsid w:val="00DA2782"/>
    <w:rsid w:val="00DB31C6"/>
    <w:rsid w:val="00DB43C2"/>
    <w:rsid w:val="00DB5051"/>
    <w:rsid w:val="00DD2B04"/>
    <w:rsid w:val="00DD40C3"/>
    <w:rsid w:val="00DE039D"/>
    <w:rsid w:val="00DE19A6"/>
    <w:rsid w:val="00DE46D1"/>
    <w:rsid w:val="00DF0E5D"/>
    <w:rsid w:val="00DF2E70"/>
    <w:rsid w:val="00E01B40"/>
    <w:rsid w:val="00E01BB0"/>
    <w:rsid w:val="00E0547D"/>
    <w:rsid w:val="00E10282"/>
    <w:rsid w:val="00E10812"/>
    <w:rsid w:val="00E147FE"/>
    <w:rsid w:val="00E15946"/>
    <w:rsid w:val="00E21976"/>
    <w:rsid w:val="00E21A5E"/>
    <w:rsid w:val="00E247BE"/>
    <w:rsid w:val="00E26A12"/>
    <w:rsid w:val="00E3092A"/>
    <w:rsid w:val="00E31339"/>
    <w:rsid w:val="00E318D4"/>
    <w:rsid w:val="00E32399"/>
    <w:rsid w:val="00E339F8"/>
    <w:rsid w:val="00E33C31"/>
    <w:rsid w:val="00E35071"/>
    <w:rsid w:val="00E4671C"/>
    <w:rsid w:val="00E53D16"/>
    <w:rsid w:val="00E63667"/>
    <w:rsid w:val="00E64769"/>
    <w:rsid w:val="00E667D9"/>
    <w:rsid w:val="00E75B03"/>
    <w:rsid w:val="00E8093D"/>
    <w:rsid w:val="00E811EB"/>
    <w:rsid w:val="00E84BEF"/>
    <w:rsid w:val="00E84D01"/>
    <w:rsid w:val="00E86949"/>
    <w:rsid w:val="00E87EE6"/>
    <w:rsid w:val="00E90DE6"/>
    <w:rsid w:val="00E93745"/>
    <w:rsid w:val="00E9407A"/>
    <w:rsid w:val="00E96A7F"/>
    <w:rsid w:val="00EA7EF3"/>
    <w:rsid w:val="00EB2D2F"/>
    <w:rsid w:val="00EB75BB"/>
    <w:rsid w:val="00EB7D14"/>
    <w:rsid w:val="00EC24E7"/>
    <w:rsid w:val="00EC3A53"/>
    <w:rsid w:val="00EC6914"/>
    <w:rsid w:val="00ED1A7D"/>
    <w:rsid w:val="00ED39A6"/>
    <w:rsid w:val="00ED7E75"/>
    <w:rsid w:val="00EE11C7"/>
    <w:rsid w:val="00EE6FB8"/>
    <w:rsid w:val="00EF03B8"/>
    <w:rsid w:val="00EF0D95"/>
    <w:rsid w:val="00EF5ABF"/>
    <w:rsid w:val="00EF6F70"/>
    <w:rsid w:val="00F02329"/>
    <w:rsid w:val="00F111B0"/>
    <w:rsid w:val="00F11617"/>
    <w:rsid w:val="00F12C8D"/>
    <w:rsid w:val="00F1581C"/>
    <w:rsid w:val="00F169AD"/>
    <w:rsid w:val="00F20393"/>
    <w:rsid w:val="00F22157"/>
    <w:rsid w:val="00F24429"/>
    <w:rsid w:val="00F26E2E"/>
    <w:rsid w:val="00F316B6"/>
    <w:rsid w:val="00F32156"/>
    <w:rsid w:val="00F33307"/>
    <w:rsid w:val="00F33A56"/>
    <w:rsid w:val="00F3449A"/>
    <w:rsid w:val="00F4065A"/>
    <w:rsid w:val="00F41465"/>
    <w:rsid w:val="00F440C2"/>
    <w:rsid w:val="00F447E7"/>
    <w:rsid w:val="00F46A0E"/>
    <w:rsid w:val="00F54212"/>
    <w:rsid w:val="00F54293"/>
    <w:rsid w:val="00F60FD9"/>
    <w:rsid w:val="00F635BF"/>
    <w:rsid w:val="00F66E08"/>
    <w:rsid w:val="00F66EB1"/>
    <w:rsid w:val="00F73EAE"/>
    <w:rsid w:val="00F75AC3"/>
    <w:rsid w:val="00F75EC8"/>
    <w:rsid w:val="00F809C3"/>
    <w:rsid w:val="00F824E7"/>
    <w:rsid w:val="00F82D51"/>
    <w:rsid w:val="00F82E3A"/>
    <w:rsid w:val="00F843CB"/>
    <w:rsid w:val="00F906BA"/>
    <w:rsid w:val="00FA032F"/>
    <w:rsid w:val="00FA1CA7"/>
    <w:rsid w:val="00FB0A59"/>
    <w:rsid w:val="00FB0C51"/>
    <w:rsid w:val="00FD123E"/>
    <w:rsid w:val="00FE5454"/>
    <w:rsid w:val="00FE5C0A"/>
    <w:rsid w:val="00FE5E8E"/>
    <w:rsid w:val="00FF35F8"/>
    <w:rsid w:val="00FF7FF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6510862C"/>
  <w15:chartTrackingRefBased/>
  <w15:docId w15:val="{C2D85FD8-AFF4-4AFC-855F-D9C4F82068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07E80"/>
    <w:pPr>
      <w:tabs>
        <w:tab w:val="center" w:pos="4252"/>
        <w:tab w:val="right" w:pos="8504"/>
      </w:tabs>
      <w:snapToGrid w:val="0"/>
    </w:pPr>
  </w:style>
  <w:style w:type="character" w:customStyle="1" w:styleId="a4">
    <w:name w:val="ヘッダー (文字)"/>
    <w:link w:val="a3"/>
    <w:uiPriority w:val="99"/>
    <w:rsid w:val="00307E80"/>
    <w:rPr>
      <w:kern w:val="2"/>
      <w:sz w:val="21"/>
      <w:szCs w:val="22"/>
    </w:rPr>
  </w:style>
  <w:style w:type="paragraph" w:styleId="a5">
    <w:name w:val="footer"/>
    <w:basedOn w:val="a"/>
    <w:link w:val="a6"/>
    <w:uiPriority w:val="99"/>
    <w:unhideWhenUsed/>
    <w:rsid w:val="00307E80"/>
    <w:pPr>
      <w:tabs>
        <w:tab w:val="center" w:pos="4252"/>
        <w:tab w:val="right" w:pos="8504"/>
      </w:tabs>
      <w:snapToGrid w:val="0"/>
    </w:pPr>
  </w:style>
  <w:style w:type="character" w:customStyle="1" w:styleId="a6">
    <w:name w:val="フッター (文字)"/>
    <w:link w:val="a5"/>
    <w:uiPriority w:val="99"/>
    <w:rsid w:val="00307E80"/>
    <w:rPr>
      <w:kern w:val="2"/>
      <w:sz w:val="21"/>
      <w:szCs w:val="22"/>
    </w:rPr>
  </w:style>
  <w:style w:type="character" w:styleId="a7">
    <w:name w:val="annotation reference"/>
    <w:basedOn w:val="a0"/>
    <w:uiPriority w:val="99"/>
    <w:semiHidden/>
    <w:unhideWhenUsed/>
    <w:rsid w:val="0012654F"/>
    <w:rPr>
      <w:sz w:val="18"/>
      <w:szCs w:val="18"/>
    </w:rPr>
  </w:style>
  <w:style w:type="paragraph" w:styleId="a8">
    <w:name w:val="annotation text"/>
    <w:basedOn w:val="a"/>
    <w:link w:val="a9"/>
    <w:uiPriority w:val="99"/>
    <w:unhideWhenUsed/>
    <w:rsid w:val="0012654F"/>
    <w:pPr>
      <w:jc w:val="left"/>
    </w:pPr>
  </w:style>
  <w:style w:type="character" w:customStyle="1" w:styleId="a9">
    <w:name w:val="コメント文字列 (文字)"/>
    <w:basedOn w:val="a0"/>
    <w:link w:val="a8"/>
    <w:uiPriority w:val="99"/>
    <w:rsid w:val="0012654F"/>
    <w:rPr>
      <w:kern w:val="2"/>
      <w:sz w:val="21"/>
      <w:szCs w:val="22"/>
    </w:rPr>
  </w:style>
  <w:style w:type="paragraph" w:styleId="aa">
    <w:name w:val="annotation subject"/>
    <w:basedOn w:val="a8"/>
    <w:next w:val="a8"/>
    <w:link w:val="ab"/>
    <w:uiPriority w:val="99"/>
    <w:semiHidden/>
    <w:unhideWhenUsed/>
    <w:rsid w:val="0012654F"/>
    <w:rPr>
      <w:b/>
      <w:bCs/>
    </w:rPr>
  </w:style>
  <w:style w:type="character" w:customStyle="1" w:styleId="ab">
    <w:name w:val="コメント内容 (文字)"/>
    <w:basedOn w:val="a9"/>
    <w:link w:val="aa"/>
    <w:uiPriority w:val="99"/>
    <w:semiHidden/>
    <w:rsid w:val="0012654F"/>
    <w:rPr>
      <w:b/>
      <w:bCs/>
      <w:kern w:val="2"/>
      <w:sz w:val="21"/>
      <w:szCs w:val="22"/>
    </w:rPr>
  </w:style>
  <w:style w:type="paragraph" w:styleId="ac">
    <w:name w:val="Balloon Text"/>
    <w:basedOn w:val="a"/>
    <w:link w:val="ad"/>
    <w:uiPriority w:val="99"/>
    <w:semiHidden/>
    <w:unhideWhenUsed/>
    <w:rsid w:val="0012654F"/>
    <w:rPr>
      <w:rFonts w:asciiTheme="majorHAnsi" w:eastAsiaTheme="majorEastAsia" w:hAnsiTheme="majorHAnsi" w:cstheme="majorBidi"/>
      <w:sz w:val="18"/>
      <w:szCs w:val="18"/>
    </w:rPr>
  </w:style>
  <w:style w:type="character" w:customStyle="1" w:styleId="ad">
    <w:name w:val="吹き出し (文字)"/>
    <w:basedOn w:val="a0"/>
    <w:link w:val="ac"/>
    <w:uiPriority w:val="99"/>
    <w:semiHidden/>
    <w:rsid w:val="0012654F"/>
    <w:rPr>
      <w:rFonts w:asciiTheme="majorHAnsi" w:eastAsiaTheme="majorEastAsia" w:hAnsiTheme="majorHAnsi" w:cstheme="majorBidi"/>
      <w:kern w:val="2"/>
      <w:sz w:val="18"/>
      <w:szCs w:val="18"/>
    </w:rPr>
  </w:style>
  <w:style w:type="character" w:styleId="ae">
    <w:name w:val="Placeholder Text"/>
    <w:basedOn w:val="a0"/>
    <w:uiPriority w:val="99"/>
    <w:semiHidden/>
    <w:rsid w:val="00B54EAC"/>
    <w:rPr>
      <w:color w:val="808080"/>
    </w:rPr>
  </w:style>
  <w:style w:type="character" w:styleId="af">
    <w:name w:val="Hyperlink"/>
    <w:basedOn w:val="a0"/>
    <w:uiPriority w:val="99"/>
    <w:unhideWhenUsed/>
    <w:rsid w:val="00F1581C"/>
    <w:rPr>
      <w:color w:val="0563C1" w:themeColor="hyperlink"/>
      <w:u w:val="single"/>
    </w:rPr>
  </w:style>
  <w:style w:type="character" w:styleId="af0">
    <w:name w:val="Unresolved Mention"/>
    <w:basedOn w:val="a0"/>
    <w:uiPriority w:val="99"/>
    <w:semiHidden/>
    <w:unhideWhenUsed/>
    <w:rsid w:val="00F1581C"/>
    <w:rPr>
      <w:color w:val="605E5C"/>
      <w:shd w:val="clear" w:color="auto" w:fill="E1DFDD"/>
    </w:rPr>
  </w:style>
  <w:style w:type="paragraph" w:styleId="af1">
    <w:name w:val="List Paragraph"/>
    <w:basedOn w:val="a"/>
    <w:uiPriority w:val="34"/>
    <w:qFormat/>
    <w:rsid w:val="009D0E3F"/>
    <w:pPr>
      <w:ind w:leftChars="400" w:left="840"/>
    </w:pPr>
  </w:style>
  <w:style w:type="paragraph" w:styleId="af2">
    <w:name w:val="caption"/>
    <w:basedOn w:val="a"/>
    <w:next w:val="a"/>
    <w:uiPriority w:val="35"/>
    <w:unhideWhenUsed/>
    <w:qFormat/>
    <w:rsid w:val="00425B0F"/>
    <w:rPr>
      <w:b/>
      <w:bCs/>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395954">
      <w:bodyDiv w:val="1"/>
      <w:marLeft w:val="0"/>
      <w:marRight w:val="0"/>
      <w:marTop w:val="0"/>
      <w:marBottom w:val="0"/>
      <w:divBdr>
        <w:top w:val="none" w:sz="0" w:space="0" w:color="auto"/>
        <w:left w:val="none" w:sz="0" w:space="0" w:color="auto"/>
        <w:bottom w:val="none" w:sz="0" w:space="0" w:color="auto"/>
        <w:right w:val="none" w:sz="0" w:space="0" w:color="auto"/>
      </w:divBdr>
      <w:divsChild>
        <w:div w:id="1199464121">
          <w:marLeft w:val="0"/>
          <w:marRight w:val="0"/>
          <w:marTop w:val="0"/>
          <w:marBottom w:val="0"/>
          <w:divBdr>
            <w:top w:val="none" w:sz="0" w:space="0" w:color="auto"/>
            <w:left w:val="none" w:sz="0" w:space="0" w:color="auto"/>
            <w:bottom w:val="none" w:sz="0" w:space="0" w:color="auto"/>
            <w:right w:val="none" w:sz="0" w:space="0" w:color="auto"/>
          </w:divBdr>
          <w:divsChild>
            <w:div w:id="408767428">
              <w:marLeft w:val="0"/>
              <w:marRight w:val="0"/>
              <w:marTop w:val="0"/>
              <w:marBottom w:val="0"/>
              <w:divBdr>
                <w:top w:val="none" w:sz="0" w:space="0" w:color="auto"/>
                <w:left w:val="none" w:sz="0" w:space="0" w:color="auto"/>
                <w:bottom w:val="none" w:sz="0" w:space="0" w:color="auto"/>
                <w:right w:val="none" w:sz="0" w:space="0" w:color="auto"/>
              </w:divBdr>
              <w:divsChild>
                <w:div w:id="175335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9223584">
      <w:bodyDiv w:val="1"/>
      <w:marLeft w:val="0"/>
      <w:marRight w:val="0"/>
      <w:marTop w:val="0"/>
      <w:marBottom w:val="0"/>
      <w:divBdr>
        <w:top w:val="none" w:sz="0" w:space="0" w:color="auto"/>
        <w:left w:val="none" w:sz="0" w:space="0" w:color="auto"/>
        <w:bottom w:val="none" w:sz="0" w:space="0" w:color="auto"/>
        <w:right w:val="none" w:sz="0" w:space="0" w:color="auto"/>
      </w:divBdr>
    </w:div>
    <w:div w:id="459960817">
      <w:bodyDiv w:val="1"/>
      <w:marLeft w:val="0"/>
      <w:marRight w:val="0"/>
      <w:marTop w:val="0"/>
      <w:marBottom w:val="0"/>
      <w:divBdr>
        <w:top w:val="none" w:sz="0" w:space="0" w:color="auto"/>
        <w:left w:val="none" w:sz="0" w:space="0" w:color="auto"/>
        <w:bottom w:val="none" w:sz="0" w:space="0" w:color="auto"/>
        <w:right w:val="none" w:sz="0" w:space="0" w:color="auto"/>
      </w:divBdr>
      <w:divsChild>
        <w:div w:id="742990130">
          <w:marLeft w:val="0"/>
          <w:marRight w:val="0"/>
          <w:marTop w:val="0"/>
          <w:marBottom w:val="0"/>
          <w:divBdr>
            <w:top w:val="none" w:sz="0" w:space="0" w:color="auto"/>
            <w:left w:val="none" w:sz="0" w:space="0" w:color="auto"/>
            <w:bottom w:val="none" w:sz="0" w:space="0" w:color="auto"/>
            <w:right w:val="none" w:sz="0" w:space="0" w:color="auto"/>
          </w:divBdr>
          <w:divsChild>
            <w:div w:id="1242063166">
              <w:marLeft w:val="0"/>
              <w:marRight w:val="0"/>
              <w:marTop w:val="0"/>
              <w:marBottom w:val="0"/>
              <w:divBdr>
                <w:top w:val="none" w:sz="0" w:space="0" w:color="auto"/>
                <w:left w:val="none" w:sz="0" w:space="0" w:color="auto"/>
                <w:bottom w:val="none" w:sz="0" w:space="0" w:color="auto"/>
                <w:right w:val="none" w:sz="0" w:space="0" w:color="auto"/>
              </w:divBdr>
              <w:divsChild>
                <w:div w:id="596254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3909359">
      <w:bodyDiv w:val="1"/>
      <w:marLeft w:val="0"/>
      <w:marRight w:val="0"/>
      <w:marTop w:val="0"/>
      <w:marBottom w:val="0"/>
      <w:divBdr>
        <w:top w:val="none" w:sz="0" w:space="0" w:color="auto"/>
        <w:left w:val="none" w:sz="0" w:space="0" w:color="auto"/>
        <w:bottom w:val="none" w:sz="0" w:space="0" w:color="auto"/>
        <w:right w:val="none" w:sz="0" w:space="0" w:color="auto"/>
      </w:divBdr>
    </w:div>
    <w:div w:id="524754768">
      <w:bodyDiv w:val="1"/>
      <w:marLeft w:val="0"/>
      <w:marRight w:val="0"/>
      <w:marTop w:val="0"/>
      <w:marBottom w:val="0"/>
      <w:divBdr>
        <w:top w:val="none" w:sz="0" w:space="0" w:color="auto"/>
        <w:left w:val="none" w:sz="0" w:space="0" w:color="auto"/>
        <w:bottom w:val="none" w:sz="0" w:space="0" w:color="auto"/>
        <w:right w:val="none" w:sz="0" w:space="0" w:color="auto"/>
      </w:divBdr>
      <w:divsChild>
        <w:div w:id="417948887">
          <w:marLeft w:val="0"/>
          <w:marRight w:val="0"/>
          <w:marTop w:val="0"/>
          <w:marBottom w:val="0"/>
          <w:divBdr>
            <w:top w:val="none" w:sz="0" w:space="0" w:color="auto"/>
            <w:left w:val="none" w:sz="0" w:space="0" w:color="auto"/>
            <w:bottom w:val="none" w:sz="0" w:space="0" w:color="auto"/>
            <w:right w:val="none" w:sz="0" w:space="0" w:color="auto"/>
          </w:divBdr>
          <w:divsChild>
            <w:div w:id="351960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151566">
      <w:bodyDiv w:val="1"/>
      <w:marLeft w:val="0"/>
      <w:marRight w:val="0"/>
      <w:marTop w:val="0"/>
      <w:marBottom w:val="0"/>
      <w:divBdr>
        <w:top w:val="none" w:sz="0" w:space="0" w:color="auto"/>
        <w:left w:val="none" w:sz="0" w:space="0" w:color="auto"/>
        <w:bottom w:val="none" w:sz="0" w:space="0" w:color="auto"/>
        <w:right w:val="none" w:sz="0" w:space="0" w:color="auto"/>
      </w:divBdr>
      <w:divsChild>
        <w:div w:id="551118279">
          <w:marLeft w:val="0"/>
          <w:marRight w:val="0"/>
          <w:marTop w:val="0"/>
          <w:marBottom w:val="0"/>
          <w:divBdr>
            <w:top w:val="none" w:sz="0" w:space="0" w:color="auto"/>
            <w:left w:val="none" w:sz="0" w:space="0" w:color="auto"/>
            <w:bottom w:val="none" w:sz="0" w:space="0" w:color="auto"/>
            <w:right w:val="none" w:sz="0" w:space="0" w:color="auto"/>
          </w:divBdr>
          <w:divsChild>
            <w:div w:id="1360157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912671">
      <w:bodyDiv w:val="1"/>
      <w:marLeft w:val="0"/>
      <w:marRight w:val="0"/>
      <w:marTop w:val="0"/>
      <w:marBottom w:val="0"/>
      <w:divBdr>
        <w:top w:val="none" w:sz="0" w:space="0" w:color="auto"/>
        <w:left w:val="none" w:sz="0" w:space="0" w:color="auto"/>
        <w:bottom w:val="none" w:sz="0" w:space="0" w:color="auto"/>
        <w:right w:val="none" w:sz="0" w:space="0" w:color="auto"/>
      </w:divBdr>
    </w:div>
    <w:div w:id="1515998153">
      <w:bodyDiv w:val="1"/>
      <w:marLeft w:val="0"/>
      <w:marRight w:val="0"/>
      <w:marTop w:val="0"/>
      <w:marBottom w:val="0"/>
      <w:divBdr>
        <w:top w:val="none" w:sz="0" w:space="0" w:color="auto"/>
        <w:left w:val="none" w:sz="0" w:space="0" w:color="auto"/>
        <w:bottom w:val="none" w:sz="0" w:space="0" w:color="auto"/>
        <w:right w:val="none" w:sz="0" w:space="0" w:color="auto"/>
      </w:divBdr>
    </w:div>
    <w:div w:id="1817606894">
      <w:bodyDiv w:val="1"/>
      <w:marLeft w:val="0"/>
      <w:marRight w:val="0"/>
      <w:marTop w:val="0"/>
      <w:marBottom w:val="0"/>
      <w:divBdr>
        <w:top w:val="none" w:sz="0" w:space="0" w:color="auto"/>
        <w:left w:val="none" w:sz="0" w:space="0" w:color="auto"/>
        <w:bottom w:val="none" w:sz="0" w:space="0" w:color="auto"/>
        <w:right w:val="none" w:sz="0" w:space="0" w:color="auto"/>
      </w:divBdr>
      <w:divsChild>
        <w:div w:id="2122145037">
          <w:marLeft w:val="0"/>
          <w:marRight w:val="0"/>
          <w:marTop w:val="0"/>
          <w:marBottom w:val="0"/>
          <w:divBdr>
            <w:top w:val="none" w:sz="0" w:space="0" w:color="auto"/>
            <w:left w:val="none" w:sz="0" w:space="0" w:color="auto"/>
            <w:bottom w:val="none" w:sz="0" w:space="0" w:color="auto"/>
            <w:right w:val="none" w:sz="0" w:space="0" w:color="auto"/>
          </w:divBdr>
          <w:divsChild>
            <w:div w:id="1244606807">
              <w:marLeft w:val="0"/>
              <w:marRight w:val="0"/>
              <w:marTop w:val="0"/>
              <w:marBottom w:val="0"/>
              <w:divBdr>
                <w:top w:val="none" w:sz="0" w:space="0" w:color="auto"/>
                <w:left w:val="none" w:sz="0" w:space="0" w:color="auto"/>
                <w:bottom w:val="none" w:sz="0" w:space="0" w:color="auto"/>
                <w:right w:val="none" w:sz="0" w:space="0" w:color="auto"/>
              </w:divBdr>
              <w:divsChild>
                <w:div w:id="1602759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5962527">
      <w:bodyDiv w:val="1"/>
      <w:marLeft w:val="0"/>
      <w:marRight w:val="0"/>
      <w:marTop w:val="0"/>
      <w:marBottom w:val="0"/>
      <w:divBdr>
        <w:top w:val="none" w:sz="0" w:space="0" w:color="auto"/>
        <w:left w:val="none" w:sz="0" w:space="0" w:color="auto"/>
        <w:bottom w:val="none" w:sz="0" w:space="0" w:color="auto"/>
        <w:right w:val="none" w:sz="0" w:space="0" w:color="auto"/>
      </w:divBdr>
      <w:divsChild>
        <w:div w:id="1099986311">
          <w:marLeft w:val="0"/>
          <w:marRight w:val="0"/>
          <w:marTop w:val="0"/>
          <w:marBottom w:val="0"/>
          <w:divBdr>
            <w:top w:val="none" w:sz="0" w:space="0" w:color="auto"/>
            <w:left w:val="none" w:sz="0" w:space="0" w:color="auto"/>
            <w:bottom w:val="none" w:sz="0" w:space="0" w:color="auto"/>
            <w:right w:val="none" w:sz="0" w:space="0" w:color="auto"/>
          </w:divBdr>
          <w:divsChild>
            <w:div w:id="205945783">
              <w:marLeft w:val="0"/>
              <w:marRight w:val="0"/>
              <w:marTop w:val="0"/>
              <w:marBottom w:val="0"/>
              <w:divBdr>
                <w:top w:val="none" w:sz="0" w:space="0" w:color="auto"/>
                <w:left w:val="none" w:sz="0" w:space="0" w:color="auto"/>
                <w:bottom w:val="none" w:sz="0" w:space="0" w:color="auto"/>
                <w:right w:val="none" w:sz="0" w:space="0" w:color="auto"/>
              </w:divBdr>
              <w:divsChild>
                <w:div w:id="177204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07/relationships/hdphoto" Target="media/hdphoto1.wdp"/></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E35CA9-24EF-ED46-8DE7-13DD2A1B06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251</Words>
  <Characters>1433</Characters>
  <Application>Microsoft Office Word</Application>
  <DocSecurity>0</DocSecurity>
  <Lines>11</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Microsoft Office User</cp:lastModifiedBy>
  <cp:revision>3</cp:revision>
  <cp:lastPrinted>2023-01-24T00:09:00Z</cp:lastPrinted>
  <dcterms:created xsi:type="dcterms:W3CDTF">2023-01-24T00:09:00Z</dcterms:created>
  <dcterms:modified xsi:type="dcterms:W3CDTF">2023-01-27T01:00:00Z</dcterms:modified>
</cp:coreProperties>
</file>